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Magro Charles V.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WESTBROOK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Ingredion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8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81"/>
        <w:gridCol w:w="831"/>
        <w:gridCol w:w="846"/>
      </w:tblGrid>
      <w:tr>
        <w:trPr>
          <w:tblHeader w:val="true"/>
        </w:trPr>
        <w:tc>
          <w:tcPr>
            <w:tcW w:w="1178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266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95.81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771.7435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aggregate number of shares of phantom stock allocated to the reporting person based upon a deferral of a cash retainer under the Non-Qualified Deferred Compensation Plan as of the date hereof based on the closing price of a share of the issuer's Common Stock on September 30, 2026. Each phantom stock unit represents the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of phantom stock acquired through dividend reinvestment.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N.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3081" TargetMode="External"/><Relationship Id="rId5" Type="http://schemas.openxmlformats.org/officeDocument/2006/relationships/hyperlink" Target="http://www.sec.gov/cgi-bin/browse-edgar?action=getcompany&amp;CIK=0001046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639</Words>
  <Characters>3461</Characters>
  <CharactersWithSpaces>4029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