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jc w:val="center"/>
        <w:ind w:right="-1100"/>
        <w:spacing w:after="0"/>
        <w:rPr>
          <w:sz w:val="20"/>
          <w:szCs w:val="20"/>
          <w:color w:val="auto"/>
        </w:rPr>
      </w:pPr>
      <w:r>
        <w:rPr>
          <w:rFonts w:ascii="Arial" w:cs="Arial" w:eastAsia="Arial" w:hAnsi="Arial"/>
          <w:sz w:val="20"/>
          <w:szCs w:val="20"/>
          <w:b w:val="1"/>
          <w:bCs w:val="1"/>
          <w:color w:val="auto"/>
        </w:rPr>
        <w:t>UNITED STATES</w:t>
      </w:r>
    </w:p>
    <w:p>
      <w:pPr>
        <w:jc w:val="center"/>
        <w:ind w:right="-1100"/>
        <w:spacing w:after="0" w:line="211" w:lineRule="auto"/>
        <w:rPr>
          <w:sz w:val="20"/>
          <w:szCs w:val="20"/>
          <w:color w:val="auto"/>
        </w:rPr>
      </w:pPr>
      <w:r>
        <w:rPr>
          <w:rFonts w:ascii="Arial" w:cs="Arial" w:eastAsia="Arial" w:hAnsi="Arial"/>
          <w:sz w:val="20"/>
          <w:szCs w:val="20"/>
          <w:b w:val="1"/>
          <w:bCs w:val="1"/>
          <w:color w:val="auto"/>
        </w:rPr>
        <w:t>SECURITIES AND EXCHANGE COMMISSION</w:t>
      </w:r>
    </w:p>
    <w:p>
      <w:pPr>
        <w:jc w:val="center"/>
        <w:ind w:right="-1100"/>
        <w:spacing w:after="0"/>
        <w:rPr>
          <w:sz w:val="20"/>
          <w:szCs w:val="20"/>
          <w:color w:val="auto"/>
        </w:rPr>
      </w:pPr>
      <w:r>
        <w:rPr>
          <w:rFonts w:ascii="Arial" w:cs="Arial" w:eastAsia="Arial" w:hAnsi="Arial"/>
          <w:sz w:val="20"/>
          <w:szCs w:val="20"/>
          <w:b w:val="1"/>
          <w:bCs w:val="1"/>
          <w:color w:val="auto"/>
        </w:rPr>
        <w:t>WASHINGTON, D C. 20549</w:t>
      </w:r>
    </w:p>
    <w:p>
      <w:pPr>
        <w:spacing w:after="0" w:line="182" w:lineRule="exact"/>
        <w:rPr>
          <w:sz w:val="24"/>
          <w:szCs w:val="24"/>
          <w:color w:val="auto"/>
        </w:rPr>
      </w:pPr>
    </w:p>
    <w:p>
      <w:pPr>
        <w:ind w:left="5100"/>
        <w:spacing w:after="0"/>
        <w:rPr>
          <w:sz w:val="20"/>
          <w:szCs w:val="20"/>
          <w:color w:val="auto"/>
        </w:rPr>
      </w:pPr>
      <w:r>
        <w:rPr>
          <w:rFonts w:ascii="Arial" w:cs="Arial" w:eastAsia="Arial" w:hAnsi="Arial"/>
          <w:sz w:val="20"/>
          <w:szCs w:val="20"/>
          <w:b w:val="1"/>
          <w:bCs w:val="1"/>
          <w:color w:val="auto"/>
        </w:rPr>
        <w:t>FORM 11-K</w:t>
      </w:r>
    </w:p>
    <w:p>
      <w:pPr>
        <w:spacing w:after="0" w:line="208" w:lineRule="exact"/>
        <w:rPr>
          <w:sz w:val="24"/>
          <w:szCs w:val="24"/>
          <w:color w:val="auto"/>
        </w:rPr>
      </w:pPr>
    </w:p>
    <w:p>
      <w:pPr>
        <w:ind w:left="2900"/>
        <w:spacing w:after="0"/>
        <w:rPr>
          <w:sz w:val="20"/>
          <w:szCs w:val="20"/>
          <w:color w:val="auto"/>
        </w:rPr>
      </w:pPr>
      <w:r>
        <w:rPr>
          <w:rFonts w:ascii="Arial" w:cs="Arial" w:eastAsia="Arial" w:hAnsi="Arial"/>
          <w:sz w:val="20"/>
          <w:szCs w:val="20"/>
          <w:b w:val="1"/>
          <w:bCs w:val="1"/>
          <w:color w:val="auto"/>
        </w:rPr>
        <w:t>ANNUAL REPORT PURSUANT TO SECTION 15(d) OF THE</w:t>
      </w:r>
    </w:p>
    <w:p>
      <w:pPr>
        <w:ind w:left="3800"/>
        <w:spacing w:after="0"/>
        <w:rPr>
          <w:sz w:val="20"/>
          <w:szCs w:val="20"/>
          <w:color w:val="auto"/>
        </w:rPr>
      </w:pPr>
      <w:r>
        <w:rPr>
          <w:rFonts w:ascii="Arial" w:cs="Arial" w:eastAsia="Arial" w:hAnsi="Arial"/>
          <w:sz w:val="20"/>
          <w:szCs w:val="20"/>
          <w:b w:val="1"/>
          <w:bCs w:val="1"/>
          <w:color w:val="auto"/>
        </w:rPr>
        <w:t>SECURITIES EXCHANGE ACT OF 1934</w:t>
      </w:r>
    </w:p>
    <w:p>
      <w:pPr>
        <w:spacing w:after="0" w:line="200" w:lineRule="exact"/>
        <w:rPr>
          <w:sz w:val="24"/>
          <w:szCs w:val="24"/>
          <w:color w:val="auto"/>
        </w:rPr>
      </w:pPr>
    </w:p>
    <w:p>
      <w:pPr>
        <w:spacing w:after="0" w:line="227" w:lineRule="exact"/>
        <w:rPr>
          <w:sz w:val="24"/>
          <w:szCs w:val="24"/>
          <w:color w:val="auto"/>
        </w:rPr>
      </w:pPr>
    </w:p>
    <w:p>
      <w:pPr>
        <w:spacing w:after="0"/>
        <w:rPr>
          <w:sz w:val="20"/>
          <w:szCs w:val="20"/>
          <w:color w:val="auto"/>
        </w:rPr>
      </w:pPr>
      <w:r>
        <w:rPr>
          <w:rFonts w:ascii="Arial" w:cs="Arial" w:eastAsia="Arial" w:hAnsi="Arial"/>
          <w:sz w:val="20"/>
          <w:szCs w:val="20"/>
          <w:color w:val="auto"/>
        </w:rPr>
        <w:t>(Mark One)</w:t>
      </w:r>
    </w:p>
    <w:p>
      <w:pPr>
        <w:spacing w:after="0" w:line="216" w:lineRule="exact"/>
        <w:rPr>
          <w:sz w:val="24"/>
          <w:szCs w:val="24"/>
          <w:color w:val="auto"/>
        </w:rPr>
      </w:pPr>
    </w:p>
    <w:p>
      <w:pPr>
        <w:ind w:left="3640" w:right="2539" w:hanging="3632"/>
        <w:spacing w:after="0" w:line="480" w:lineRule="auto"/>
        <w:tabs>
          <w:tab w:leader="none" w:pos="460" w:val="left"/>
        </w:tabs>
        <w:numPr>
          <w:ilvl w:val="0"/>
          <w:numId w:val="1"/>
        </w:numPr>
        <w:rPr>
          <w:rFonts w:ascii="Arial" w:cs="Arial" w:eastAsia="Arial" w:hAnsi="Arial"/>
          <w:sz w:val="19"/>
          <w:szCs w:val="19"/>
          <w:color w:val="auto"/>
        </w:rPr>
      </w:pPr>
      <w:r>
        <w:rPr>
          <w:rFonts w:ascii="Arial" w:cs="Arial" w:eastAsia="Arial" w:hAnsi="Arial"/>
          <w:sz w:val="19"/>
          <w:szCs w:val="19"/>
          <w:color w:val="auto"/>
        </w:rPr>
        <w:t>Annual report pursuant to Section 15(d) of the Securities Exchange Act of 1934 For the fiscal year ended December 31, 2025</w:t>
      </w:r>
    </w:p>
    <w:p>
      <w:pPr>
        <w:spacing w:after="0" w:line="2" w:lineRule="exact"/>
        <w:rPr>
          <w:sz w:val="24"/>
          <w:szCs w:val="24"/>
          <w:color w:val="auto"/>
        </w:rPr>
      </w:pPr>
    </w:p>
    <w:p>
      <w:pPr>
        <w:ind w:left="5520"/>
        <w:spacing w:after="0"/>
        <w:rPr>
          <w:sz w:val="20"/>
          <w:szCs w:val="20"/>
          <w:color w:val="auto"/>
        </w:rPr>
      </w:pPr>
      <w:r>
        <w:rPr>
          <w:rFonts w:ascii="Arial" w:cs="Arial" w:eastAsia="Arial" w:hAnsi="Arial"/>
          <w:sz w:val="20"/>
          <w:szCs w:val="20"/>
          <w:b w:val="1"/>
          <w:bCs w:val="1"/>
          <w:color w:val="auto"/>
        </w:rPr>
        <w:t>or</w:t>
      </w:r>
    </w:p>
    <w:p>
      <w:pPr>
        <w:spacing w:after="0" w:line="218" w:lineRule="exact"/>
        <w:rPr>
          <w:sz w:val="24"/>
          <w:szCs w:val="24"/>
          <w:color w:val="auto"/>
        </w:rPr>
      </w:pPr>
    </w:p>
    <w:p>
      <w:pPr>
        <w:ind w:left="3520" w:right="2419" w:hanging="3512"/>
        <w:spacing w:after="0" w:line="481" w:lineRule="auto"/>
        <w:tabs>
          <w:tab w:leader="none" w:pos="164" w:val="left"/>
        </w:tabs>
        <w:numPr>
          <w:ilvl w:val="0"/>
          <w:numId w:val="2"/>
        </w:numPr>
        <w:rPr>
          <w:rFonts w:ascii="Arial" w:cs="Arial" w:eastAsia="Arial" w:hAnsi="Arial"/>
          <w:sz w:val="19"/>
          <w:szCs w:val="19"/>
          <w:color w:val="auto"/>
        </w:rPr>
      </w:pPr>
      <w:r>
        <w:rPr>
          <w:rFonts w:ascii="Arial" w:cs="Arial" w:eastAsia="Arial" w:hAnsi="Arial"/>
          <w:sz w:val="19"/>
          <w:szCs w:val="19"/>
          <w:color w:val="auto"/>
        </w:rPr>
        <w:t>] Transition report pursuant to Section 15(d) of the Securities Exchange Act of 1934 For the transition period from ______ to ______</w:t>
      </w:r>
    </w:p>
    <w:p>
      <w:pPr>
        <w:spacing w:after="0" w:line="1" w:lineRule="exact"/>
        <w:rPr>
          <w:rFonts w:ascii="Arial" w:cs="Arial" w:eastAsia="Arial" w:hAnsi="Arial"/>
          <w:sz w:val="19"/>
          <w:szCs w:val="19"/>
          <w:color w:val="auto"/>
        </w:rPr>
      </w:pPr>
    </w:p>
    <w:p>
      <w:pPr>
        <w:ind w:left="4180"/>
        <w:spacing w:after="0"/>
        <w:rPr>
          <w:rFonts w:ascii="Arial" w:cs="Arial" w:eastAsia="Arial" w:hAnsi="Arial"/>
          <w:sz w:val="19"/>
          <w:szCs w:val="19"/>
          <w:color w:val="auto"/>
        </w:rPr>
      </w:pPr>
      <w:r>
        <w:rPr>
          <w:rFonts w:ascii="Arial" w:cs="Arial" w:eastAsia="Arial" w:hAnsi="Arial"/>
          <w:sz w:val="20"/>
          <w:szCs w:val="20"/>
          <w:color w:val="auto"/>
        </w:rPr>
        <w:t>Commission file number 1-13397</w:t>
      </w:r>
    </w:p>
    <w:p>
      <w:pPr>
        <w:spacing w:after="0" w:line="200" w:lineRule="exact"/>
        <w:rPr>
          <w:rFonts w:ascii="Arial" w:cs="Arial" w:eastAsia="Arial" w:hAnsi="Arial"/>
          <w:sz w:val="19"/>
          <w:szCs w:val="19"/>
          <w:color w:val="auto"/>
        </w:rPr>
      </w:pPr>
    </w:p>
    <w:p>
      <w:pPr>
        <w:spacing w:after="0" w:line="258" w:lineRule="exact"/>
        <w:rPr>
          <w:rFonts w:ascii="Arial" w:cs="Arial" w:eastAsia="Arial" w:hAnsi="Arial"/>
          <w:sz w:val="19"/>
          <w:szCs w:val="19"/>
          <w:color w:val="auto"/>
        </w:rPr>
      </w:pPr>
    </w:p>
    <w:p>
      <w:pPr>
        <w:ind w:left="1300" w:right="1479" w:hanging="968"/>
        <w:spacing w:after="0" w:line="457" w:lineRule="auto"/>
        <w:tabs>
          <w:tab w:leader="none" w:pos="650" w:val="left"/>
        </w:tabs>
        <w:numPr>
          <w:ilvl w:val="1"/>
          <w:numId w:val="2"/>
        </w:numPr>
        <w:rPr>
          <w:rFonts w:ascii="Arial" w:cs="Arial" w:eastAsia="Arial" w:hAnsi="Arial"/>
          <w:sz w:val="20"/>
          <w:szCs w:val="20"/>
          <w:color w:val="auto"/>
        </w:rPr>
      </w:pPr>
      <w:r>
        <w:rPr>
          <w:rFonts w:ascii="Arial" w:cs="Arial" w:eastAsia="Arial" w:hAnsi="Arial"/>
          <w:sz w:val="20"/>
          <w:szCs w:val="20"/>
          <w:color w:val="auto"/>
        </w:rPr>
        <w:t>Full title of the plan and address of the plan, if different from that of the issuer named below: Ingredion Incorporated Retirement Savings Plan for Hourly Employees</w:t>
      </w:r>
    </w:p>
    <w:p>
      <w:pPr>
        <w:spacing w:after="0" w:line="1" w:lineRule="exact"/>
        <w:rPr>
          <w:rFonts w:ascii="Arial" w:cs="Arial" w:eastAsia="Arial" w:hAnsi="Arial"/>
          <w:sz w:val="20"/>
          <w:szCs w:val="20"/>
          <w:color w:val="auto"/>
        </w:rPr>
      </w:pPr>
    </w:p>
    <w:p>
      <w:pPr>
        <w:ind w:left="660" w:hanging="328"/>
        <w:spacing w:after="0"/>
        <w:tabs>
          <w:tab w:leader="none" w:pos="660" w:val="left"/>
        </w:tabs>
        <w:numPr>
          <w:ilvl w:val="1"/>
          <w:numId w:val="2"/>
        </w:numPr>
        <w:rPr>
          <w:rFonts w:ascii="Arial" w:cs="Arial" w:eastAsia="Arial" w:hAnsi="Arial"/>
          <w:sz w:val="19"/>
          <w:szCs w:val="19"/>
          <w:color w:val="auto"/>
        </w:rPr>
      </w:pPr>
      <w:r>
        <w:rPr>
          <w:rFonts w:ascii="Arial" w:cs="Arial" w:eastAsia="Arial" w:hAnsi="Arial"/>
          <w:sz w:val="19"/>
          <w:szCs w:val="19"/>
          <w:color w:val="auto"/>
        </w:rPr>
        <w:t>Name of issuer of the securities held pursuant to the plan and the address of its principal executive office:</w:t>
      </w:r>
    </w:p>
    <w:p>
      <w:pPr>
        <w:spacing w:after="0" w:line="218" w:lineRule="exact"/>
        <w:rPr>
          <w:sz w:val="24"/>
          <w:szCs w:val="24"/>
          <w:color w:val="auto"/>
        </w:rPr>
      </w:pPr>
    </w:p>
    <w:p>
      <w:pPr>
        <w:ind w:left="1300"/>
        <w:spacing w:after="0"/>
        <w:rPr>
          <w:sz w:val="20"/>
          <w:szCs w:val="20"/>
          <w:color w:val="auto"/>
        </w:rPr>
      </w:pPr>
      <w:r>
        <w:rPr>
          <w:rFonts w:ascii="Arial" w:cs="Arial" w:eastAsia="Arial" w:hAnsi="Arial"/>
          <w:sz w:val="20"/>
          <w:szCs w:val="20"/>
          <w:color w:val="auto"/>
        </w:rPr>
        <w:t>Ingredion Incorporated</w:t>
      </w:r>
    </w:p>
    <w:p>
      <w:pPr>
        <w:ind w:left="1300"/>
        <w:spacing w:after="0" w:line="197" w:lineRule="auto"/>
        <w:rPr>
          <w:sz w:val="20"/>
          <w:szCs w:val="20"/>
          <w:color w:val="auto"/>
        </w:rPr>
      </w:pPr>
      <w:r>
        <w:rPr>
          <w:rFonts w:ascii="Arial" w:cs="Arial" w:eastAsia="Arial" w:hAnsi="Arial"/>
          <w:sz w:val="20"/>
          <w:szCs w:val="20"/>
          <w:color w:val="auto"/>
        </w:rPr>
        <w:t>5 Westbrook Corporate Center</w:t>
      </w:r>
    </w:p>
    <w:p>
      <w:pPr>
        <w:ind w:left="1300"/>
        <w:spacing w:after="0"/>
        <w:rPr>
          <w:sz w:val="20"/>
          <w:szCs w:val="20"/>
          <w:color w:val="auto"/>
        </w:rPr>
      </w:pPr>
      <w:r>
        <w:rPr>
          <w:rFonts w:ascii="Arial" w:cs="Arial" w:eastAsia="Arial" w:hAnsi="Arial"/>
          <w:sz w:val="20"/>
          <w:szCs w:val="20"/>
          <w:color w:val="auto"/>
        </w:rPr>
        <w:t>Westchester, Illinois 60154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769620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215" w:right="1440" w:bottom="1440" w:gutter="0" w:footer="0" w:header="0"/>
        </w:sectPr>
      </w:pPr>
    </w:p>
    <w:bookmarkStart w:id="1" w:name="page2"/>
    <w:bookmarkEnd w:id="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INGREDION INCORPORATED</w:t>
      </w:r>
    </w:p>
    <w:p>
      <w:pPr>
        <w:ind w:left="3180"/>
        <w:spacing w:after="0" w:line="203" w:lineRule="auto"/>
        <w:rPr>
          <w:sz w:val="20"/>
          <w:szCs w:val="20"/>
          <w:color w:val="auto"/>
        </w:rPr>
      </w:pPr>
      <w:r>
        <w:rPr>
          <w:rFonts w:ascii="Arial" w:cs="Arial" w:eastAsia="Arial" w:hAnsi="Arial"/>
          <w:sz w:val="18"/>
          <w:szCs w:val="18"/>
          <w:color w:val="auto"/>
        </w:rPr>
        <w:t>RETIREMENT SAVINGS PLAN FOR HOURLY EMPLOYEES</w:t>
      </w:r>
    </w:p>
    <w:p>
      <w:pPr>
        <w:jc w:val="center"/>
        <w:spacing w:after="0"/>
        <w:rPr>
          <w:sz w:val="20"/>
          <w:szCs w:val="20"/>
          <w:color w:val="auto"/>
        </w:rPr>
      </w:pPr>
      <w:r>
        <w:rPr>
          <w:rFonts w:ascii="Arial" w:cs="Arial" w:eastAsia="Arial" w:hAnsi="Arial"/>
          <w:sz w:val="18"/>
          <w:szCs w:val="18"/>
          <w:color w:val="auto"/>
        </w:rPr>
        <w:t>Westchester, Illinois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FINANCIAL STATEMENTS</w:t>
      </w:r>
    </w:p>
    <w:p>
      <w:pPr>
        <w:jc w:val="center"/>
        <w:spacing w:after="0"/>
        <w:rPr>
          <w:sz w:val="20"/>
          <w:szCs w:val="20"/>
          <w:color w:val="auto"/>
        </w:rPr>
      </w:pPr>
      <w:r>
        <w:rPr>
          <w:rFonts w:ascii="Arial" w:cs="Arial" w:eastAsia="Arial" w:hAnsi="Arial"/>
          <w:sz w:val="18"/>
          <w:szCs w:val="18"/>
          <w:color w:val="auto"/>
        </w:rPr>
        <w:t>December 31, 2025 and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tbl>
      <w:tblPr>
        <w:tblLayout w:type="fixed"/>
        <w:tblInd w:w="20" w:type="dxa"/>
        <w:tblCellMar>
          <w:top w:w="0" w:type="dxa"/>
          <w:left w:w="0" w:type="dxa"/>
          <w:bottom w:w="0" w:type="dxa"/>
          <w:right w:w="0" w:type="dxa"/>
        </w:tblCellMar>
      </w:tblPr>
      <w:tr>
        <w:trPr>
          <w:trHeight w:val="239"/>
        </w:trPr>
        <w:tc>
          <w:tcPr>
            <w:tcW w:w="9200" w:type="dxa"/>
            <w:vAlign w:val="bottom"/>
          </w:tcPr>
          <w:p>
            <w:pPr>
              <w:spacing w:after="0"/>
              <w:rPr>
                <w:sz w:val="20"/>
                <w:szCs w:val="20"/>
                <w:color w:val="auto"/>
              </w:rPr>
            </w:pPr>
            <w:r>
              <w:rPr>
                <w:rFonts w:ascii="Arial" w:cs="Arial" w:eastAsia="Arial" w:hAnsi="Arial"/>
                <w:sz w:val="18"/>
                <w:szCs w:val="18"/>
                <w:color w:val="auto"/>
              </w:rPr>
              <w:t>REPORT OF INDEPENDENT REGISTERED PUBLIC ACCOUNTING FIRM</w:t>
            </w:r>
          </w:p>
        </w:tc>
        <w:tc>
          <w:tcPr>
            <w:tcW w:w="1860" w:type="dxa"/>
            <w:vAlign w:val="bottom"/>
          </w:tcPr>
          <w:p>
            <w:pPr>
              <w:jc w:val="center"/>
              <w:ind w:left="1350"/>
              <w:spacing w:after="0"/>
              <w:rPr>
                <w:sz w:val="20"/>
                <w:szCs w:val="20"/>
                <w:color w:val="auto"/>
              </w:rPr>
            </w:pPr>
            <w:r>
              <w:rPr>
                <w:rFonts w:ascii="Arial" w:cs="Arial" w:eastAsia="Arial" w:hAnsi="Arial"/>
                <w:sz w:val="18"/>
                <w:szCs w:val="18"/>
                <w:color w:val="auto"/>
                <w:w w:val="93"/>
              </w:rPr>
              <w:t>P. 1</w:t>
            </w:r>
          </w:p>
        </w:tc>
      </w:tr>
      <w:tr>
        <w:trPr>
          <w:trHeight w:val="446"/>
        </w:trPr>
        <w:tc>
          <w:tcPr>
            <w:tcW w:w="9200" w:type="dxa"/>
            <w:vAlign w:val="bottom"/>
          </w:tcPr>
          <w:p>
            <w:pPr>
              <w:ind w:left="60"/>
              <w:spacing w:after="0"/>
              <w:rPr>
                <w:sz w:val="20"/>
                <w:szCs w:val="20"/>
                <w:color w:val="auto"/>
              </w:rPr>
            </w:pPr>
            <w:r>
              <w:rPr>
                <w:rFonts w:ascii="Arial" w:cs="Arial" w:eastAsia="Arial" w:hAnsi="Arial"/>
                <w:sz w:val="18"/>
                <w:szCs w:val="18"/>
                <w:color w:val="auto"/>
              </w:rPr>
              <w:t>FINANCIAL STATEMENTS</w:t>
            </w:r>
          </w:p>
        </w:tc>
        <w:tc>
          <w:tcPr>
            <w:tcW w:w="1860" w:type="dxa"/>
            <w:vAlign w:val="bottom"/>
          </w:tcPr>
          <w:p>
            <w:pPr>
              <w:spacing w:after="0"/>
              <w:rPr>
                <w:sz w:val="24"/>
                <w:szCs w:val="24"/>
                <w:color w:val="auto"/>
              </w:rPr>
            </w:pPr>
          </w:p>
        </w:tc>
      </w:tr>
      <w:tr>
        <w:trPr>
          <w:trHeight w:val="445"/>
        </w:trPr>
        <w:tc>
          <w:tcPr>
            <w:tcW w:w="9200" w:type="dxa"/>
            <w:vAlign w:val="bottom"/>
          </w:tcPr>
          <w:p>
            <w:pPr>
              <w:ind w:left="400"/>
              <w:spacing w:after="0"/>
              <w:rPr>
                <w:sz w:val="20"/>
                <w:szCs w:val="20"/>
                <w:color w:val="auto"/>
              </w:rPr>
            </w:pPr>
            <w:r>
              <w:rPr>
                <w:rFonts w:ascii="Arial" w:cs="Arial" w:eastAsia="Arial" w:hAnsi="Arial"/>
                <w:sz w:val="18"/>
                <w:szCs w:val="18"/>
                <w:color w:val="auto"/>
              </w:rPr>
              <w:t>STATEMENTS OF NET ASSETS AVAILABLE FOR BENEFITS</w:t>
            </w:r>
          </w:p>
        </w:tc>
        <w:tc>
          <w:tcPr>
            <w:tcW w:w="1860" w:type="dxa"/>
            <w:vAlign w:val="bottom"/>
          </w:tcPr>
          <w:p>
            <w:pPr>
              <w:jc w:val="center"/>
              <w:ind w:left="1350"/>
              <w:spacing w:after="0"/>
              <w:rPr>
                <w:sz w:val="20"/>
                <w:szCs w:val="20"/>
                <w:color w:val="auto"/>
              </w:rPr>
            </w:pPr>
            <w:r>
              <w:rPr>
                <w:rFonts w:ascii="Arial" w:cs="Arial" w:eastAsia="Arial" w:hAnsi="Arial"/>
                <w:sz w:val="18"/>
                <w:szCs w:val="18"/>
                <w:color w:val="auto"/>
                <w:w w:val="93"/>
              </w:rPr>
              <w:t>P. 3</w:t>
            </w:r>
          </w:p>
        </w:tc>
      </w:tr>
      <w:tr>
        <w:trPr>
          <w:trHeight w:val="445"/>
        </w:trPr>
        <w:tc>
          <w:tcPr>
            <w:tcW w:w="9200" w:type="dxa"/>
            <w:vAlign w:val="bottom"/>
          </w:tcPr>
          <w:p>
            <w:pPr>
              <w:ind w:left="400"/>
              <w:spacing w:after="0"/>
              <w:rPr>
                <w:sz w:val="20"/>
                <w:szCs w:val="20"/>
                <w:color w:val="auto"/>
              </w:rPr>
            </w:pPr>
            <w:r>
              <w:rPr>
                <w:rFonts w:ascii="Arial" w:cs="Arial" w:eastAsia="Arial" w:hAnsi="Arial"/>
                <w:sz w:val="18"/>
                <w:szCs w:val="18"/>
                <w:color w:val="auto"/>
              </w:rPr>
              <w:t>STATEMENT OF CHANGES IN NET ASSETS AVAILABLE FOR BENEFITS</w:t>
            </w:r>
          </w:p>
        </w:tc>
        <w:tc>
          <w:tcPr>
            <w:tcW w:w="1860" w:type="dxa"/>
            <w:vAlign w:val="bottom"/>
          </w:tcPr>
          <w:p>
            <w:pPr>
              <w:jc w:val="center"/>
              <w:ind w:left="1350"/>
              <w:spacing w:after="0"/>
              <w:rPr>
                <w:sz w:val="20"/>
                <w:szCs w:val="20"/>
                <w:color w:val="auto"/>
              </w:rPr>
            </w:pPr>
            <w:r>
              <w:rPr>
                <w:rFonts w:ascii="Arial" w:cs="Arial" w:eastAsia="Arial" w:hAnsi="Arial"/>
                <w:sz w:val="18"/>
                <w:szCs w:val="18"/>
                <w:color w:val="auto"/>
                <w:w w:val="93"/>
              </w:rPr>
              <w:t>P. 4</w:t>
            </w:r>
          </w:p>
        </w:tc>
      </w:tr>
      <w:tr>
        <w:trPr>
          <w:trHeight w:val="445"/>
        </w:trPr>
        <w:tc>
          <w:tcPr>
            <w:tcW w:w="9200" w:type="dxa"/>
            <w:vAlign w:val="bottom"/>
          </w:tcPr>
          <w:p>
            <w:pPr>
              <w:ind w:left="400"/>
              <w:spacing w:after="0"/>
              <w:rPr>
                <w:sz w:val="20"/>
                <w:szCs w:val="20"/>
                <w:color w:val="auto"/>
              </w:rPr>
            </w:pPr>
            <w:r>
              <w:rPr>
                <w:rFonts w:ascii="Arial" w:cs="Arial" w:eastAsia="Arial" w:hAnsi="Arial"/>
                <w:sz w:val="18"/>
                <w:szCs w:val="18"/>
                <w:color w:val="auto"/>
              </w:rPr>
              <w:t>NOTES TO THE FINANCIAL STATEMENTS</w:t>
            </w:r>
          </w:p>
        </w:tc>
        <w:tc>
          <w:tcPr>
            <w:tcW w:w="1860" w:type="dxa"/>
            <w:vAlign w:val="bottom"/>
          </w:tcPr>
          <w:p>
            <w:pPr>
              <w:jc w:val="center"/>
              <w:ind w:left="1350"/>
              <w:spacing w:after="0"/>
              <w:rPr>
                <w:sz w:val="20"/>
                <w:szCs w:val="20"/>
                <w:color w:val="auto"/>
              </w:rPr>
            </w:pPr>
            <w:r>
              <w:rPr>
                <w:rFonts w:ascii="Arial" w:cs="Arial" w:eastAsia="Arial" w:hAnsi="Arial"/>
                <w:sz w:val="18"/>
                <w:szCs w:val="18"/>
                <w:color w:val="auto"/>
                <w:w w:val="93"/>
              </w:rPr>
              <w:t>P. 5</w:t>
            </w:r>
          </w:p>
        </w:tc>
      </w:tr>
      <w:tr>
        <w:trPr>
          <w:trHeight w:val="661"/>
        </w:trPr>
        <w:tc>
          <w:tcPr>
            <w:tcW w:w="9200" w:type="dxa"/>
            <w:vAlign w:val="bottom"/>
          </w:tcPr>
          <w:p>
            <w:pPr>
              <w:spacing w:after="0"/>
              <w:rPr>
                <w:sz w:val="20"/>
                <w:szCs w:val="20"/>
                <w:color w:val="auto"/>
              </w:rPr>
            </w:pPr>
            <w:r>
              <w:rPr>
                <w:rFonts w:ascii="Arial" w:cs="Arial" w:eastAsia="Arial" w:hAnsi="Arial"/>
                <w:sz w:val="18"/>
                <w:szCs w:val="18"/>
                <w:color w:val="auto"/>
              </w:rPr>
              <w:t>SUPPLEMENTAL SCHEDULES</w:t>
            </w:r>
          </w:p>
        </w:tc>
        <w:tc>
          <w:tcPr>
            <w:tcW w:w="1860" w:type="dxa"/>
            <w:vAlign w:val="bottom"/>
          </w:tcPr>
          <w:p>
            <w:pPr>
              <w:spacing w:after="0"/>
              <w:rPr>
                <w:sz w:val="24"/>
                <w:szCs w:val="24"/>
                <w:color w:val="auto"/>
              </w:rPr>
            </w:pPr>
          </w:p>
        </w:tc>
      </w:tr>
      <w:tr>
        <w:trPr>
          <w:trHeight w:val="445"/>
        </w:trPr>
        <w:tc>
          <w:tcPr>
            <w:tcW w:w="9200" w:type="dxa"/>
            <w:vAlign w:val="bottom"/>
          </w:tcPr>
          <w:p>
            <w:pPr>
              <w:ind w:left="400"/>
              <w:spacing w:after="0"/>
              <w:rPr>
                <w:sz w:val="20"/>
                <w:szCs w:val="20"/>
                <w:color w:val="auto"/>
              </w:rPr>
            </w:pPr>
            <w:r>
              <w:rPr>
                <w:rFonts w:ascii="Arial" w:cs="Arial" w:eastAsia="Arial" w:hAnsi="Arial"/>
                <w:sz w:val="18"/>
                <w:szCs w:val="18"/>
                <w:color w:val="auto"/>
              </w:rPr>
              <w:t>SCHEDULE H, LINE 4a – SCHEDULE OF DELINQUENT PARTICIPANT CONTRIBUTIONS</w:t>
            </w:r>
          </w:p>
        </w:tc>
        <w:tc>
          <w:tcPr>
            <w:tcW w:w="1860" w:type="dxa"/>
            <w:vAlign w:val="bottom"/>
          </w:tcPr>
          <w:p>
            <w:pPr>
              <w:jc w:val="center"/>
              <w:ind w:left="1370"/>
              <w:spacing w:after="0"/>
              <w:rPr>
                <w:sz w:val="20"/>
                <w:szCs w:val="20"/>
                <w:color w:val="auto"/>
              </w:rPr>
            </w:pPr>
            <w:r>
              <w:rPr>
                <w:rFonts w:ascii="Arial" w:cs="Arial" w:eastAsia="Arial" w:hAnsi="Arial"/>
                <w:sz w:val="18"/>
                <w:szCs w:val="18"/>
                <w:color w:val="auto"/>
                <w:w w:val="95"/>
              </w:rPr>
              <w:t>P. 13</w:t>
            </w:r>
          </w:p>
        </w:tc>
      </w:tr>
      <w:tr>
        <w:trPr>
          <w:trHeight w:val="445"/>
        </w:trPr>
        <w:tc>
          <w:tcPr>
            <w:tcW w:w="9200" w:type="dxa"/>
            <w:vAlign w:val="bottom"/>
          </w:tcPr>
          <w:p>
            <w:pPr>
              <w:ind w:left="400"/>
              <w:spacing w:after="0"/>
              <w:rPr>
                <w:sz w:val="20"/>
                <w:szCs w:val="20"/>
                <w:color w:val="auto"/>
              </w:rPr>
            </w:pPr>
            <w:r>
              <w:rPr>
                <w:rFonts w:ascii="Arial" w:cs="Arial" w:eastAsia="Arial" w:hAnsi="Arial"/>
                <w:sz w:val="18"/>
                <w:szCs w:val="18"/>
                <w:color w:val="auto"/>
              </w:rPr>
              <w:t>SCHEDULE H, LINE 4i – SCHEDULE OF ASSETS (HELD AT END OF YEAR)</w:t>
            </w:r>
          </w:p>
        </w:tc>
        <w:tc>
          <w:tcPr>
            <w:tcW w:w="1860" w:type="dxa"/>
            <w:vAlign w:val="bottom"/>
          </w:tcPr>
          <w:p>
            <w:pPr>
              <w:jc w:val="center"/>
              <w:ind w:left="1370"/>
              <w:spacing w:after="0"/>
              <w:rPr>
                <w:sz w:val="20"/>
                <w:szCs w:val="20"/>
                <w:color w:val="auto"/>
              </w:rPr>
            </w:pPr>
            <w:r>
              <w:rPr>
                <w:rFonts w:ascii="Arial" w:cs="Arial" w:eastAsia="Arial" w:hAnsi="Arial"/>
                <w:sz w:val="18"/>
                <w:szCs w:val="18"/>
                <w:color w:val="auto"/>
                <w:w w:val="95"/>
              </w:rPr>
              <w:t>P. 14</w:t>
            </w:r>
          </w:p>
        </w:tc>
      </w:tr>
    </w:tbl>
    <w:p>
      <w:pPr>
        <w:spacing w:after="0" w:line="207" w:lineRule="exact"/>
        <w:rPr>
          <w:sz w:val="20"/>
          <w:szCs w:val="20"/>
          <w:color w:val="auto"/>
        </w:rPr>
      </w:pPr>
    </w:p>
    <w:p>
      <w:pPr>
        <w:ind w:left="20" w:right="140"/>
        <w:spacing w:after="0" w:line="256" w:lineRule="auto"/>
        <w:rPr>
          <w:sz w:val="20"/>
          <w:szCs w:val="20"/>
          <w:color w:val="auto"/>
        </w:rPr>
      </w:pPr>
      <w:r>
        <w:rPr>
          <w:rFonts w:ascii="Arial" w:cs="Arial" w:eastAsia="Arial" w:hAnsi="Arial"/>
          <w:sz w:val="18"/>
          <w:szCs w:val="18"/>
          <w:color w:val="auto"/>
        </w:rPr>
        <w:t>All other schedules required by Section 2520.103-10 of the Department of Labor Rules and Regulations for Reporting and Disclosure under the Employee Retirement Income Security Act of 1974, as amended, have been omitted because they are not applicable.</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000" w:type="dxa"/>
            <w:vAlign w:val="bottom"/>
          </w:tcPr>
          <w:p>
            <w:pPr>
              <w:ind w:left="20"/>
              <w:spacing w:after="0"/>
              <w:rPr>
                <w:sz w:val="20"/>
                <w:szCs w:val="20"/>
                <w:color w:val="auto"/>
              </w:rPr>
            </w:pPr>
            <w:r>
              <w:rPr>
                <w:rFonts w:ascii="Arial" w:cs="Arial" w:eastAsia="Arial" w:hAnsi="Arial"/>
                <w:sz w:val="18"/>
                <w:szCs w:val="18"/>
                <w:color w:val="auto"/>
              </w:rPr>
              <w:t>EXHIBIT INDEX</w:t>
            </w:r>
          </w:p>
        </w:tc>
        <w:tc>
          <w:tcPr>
            <w:tcW w:w="5240" w:type="dxa"/>
            <w:vAlign w:val="bottom"/>
          </w:tcPr>
          <w:p>
            <w:pPr>
              <w:ind w:left="4680"/>
              <w:spacing w:after="0"/>
              <w:rPr>
                <w:sz w:val="20"/>
                <w:szCs w:val="20"/>
                <w:color w:val="auto"/>
              </w:rPr>
            </w:pPr>
            <w:r>
              <w:rPr>
                <w:rFonts w:ascii="Arial" w:cs="Arial" w:eastAsia="Arial" w:hAnsi="Arial"/>
                <w:sz w:val="18"/>
                <w:szCs w:val="18"/>
                <w:color w:val="auto"/>
              </w:rPr>
              <w:t>P. 15</w:t>
            </w:r>
          </w:p>
        </w:tc>
      </w:tr>
      <w:tr>
        <w:trPr>
          <w:trHeight w:val="445"/>
        </w:trPr>
        <w:tc>
          <w:tcPr>
            <w:tcW w:w="6000" w:type="dxa"/>
            <w:vAlign w:val="bottom"/>
          </w:tcPr>
          <w:p>
            <w:pPr>
              <w:ind w:left="20"/>
              <w:spacing w:after="0"/>
              <w:rPr>
                <w:sz w:val="20"/>
                <w:szCs w:val="20"/>
                <w:color w:val="auto"/>
              </w:rPr>
            </w:pPr>
            <w:r>
              <w:rPr>
                <w:rFonts w:ascii="Arial" w:cs="Arial" w:eastAsia="Arial" w:hAnsi="Arial"/>
                <w:sz w:val="18"/>
                <w:szCs w:val="18"/>
                <w:color w:val="auto"/>
              </w:rPr>
              <w:t>SIGNATURES</w:t>
            </w:r>
          </w:p>
        </w:tc>
        <w:tc>
          <w:tcPr>
            <w:tcW w:w="5240" w:type="dxa"/>
            <w:vAlign w:val="bottom"/>
          </w:tcPr>
          <w:p>
            <w:pPr>
              <w:ind w:left="4680"/>
              <w:spacing w:after="0"/>
              <w:rPr>
                <w:sz w:val="20"/>
                <w:szCs w:val="20"/>
                <w:color w:val="auto"/>
              </w:rPr>
            </w:pPr>
            <w:r>
              <w:rPr>
                <w:rFonts w:ascii="Arial" w:cs="Arial" w:eastAsia="Arial" w:hAnsi="Arial"/>
                <w:sz w:val="18"/>
                <w:szCs w:val="18"/>
                <w:color w:val="auto"/>
              </w:rPr>
              <w:t>P. 16</w:t>
            </w:r>
          </w:p>
        </w:tc>
      </w:tr>
      <w:tr>
        <w:trPr>
          <w:trHeight w:val="2568"/>
        </w:trPr>
        <w:tc>
          <w:tcPr>
            <w:tcW w:w="6000" w:type="dxa"/>
            <w:vAlign w:val="bottom"/>
            <w:tcBorders>
              <w:bottom w:val="single" w:sz="8" w:color="9A9A9A"/>
            </w:tcBorders>
          </w:tcPr>
          <w:p>
            <w:pPr>
              <w:spacing w:after="0"/>
              <w:rPr>
                <w:sz w:val="24"/>
                <w:szCs w:val="24"/>
                <w:color w:val="auto"/>
              </w:rPr>
            </w:pPr>
          </w:p>
        </w:tc>
        <w:tc>
          <w:tcPr>
            <w:tcW w:w="52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1260475</wp:posOffset>
            </wp:positionV>
            <wp:extent cx="4423410" cy="4457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423410"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color w:val="auto"/>
        </w:rPr>
        <w:t>Plan Participants and Benefits Committee of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Ingredion Incorporated Retirement Savings Plan for Hourly Employees</w:t>
      </w:r>
    </w:p>
    <w:p>
      <w:pPr>
        <w:spacing w:after="0"/>
        <w:rPr>
          <w:sz w:val="20"/>
          <w:szCs w:val="20"/>
          <w:color w:val="auto"/>
        </w:rPr>
      </w:pPr>
      <w:r>
        <w:rPr>
          <w:rFonts w:ascii="Arial" w:cs="Arial" w:eastAsia="Arial" w:hAnsi="Arial"/>
          <w:sz w:val="18"/>
          <w:szCs w:val="18"/>
          <w:color w:val="auto"/>
        </w:rPr>
        <w:t>Westchester, Illinois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39" w:lineRule="exact"/>
        <w:rPr>
          <w:sz w:val="20"/>
          <w:szCs w:val="20"/>
          <w:color w:val="auto"/>
        </w:rPr>
      </w:pPr>
    </w:p>
    <w:p>
      <w:pPr>
        <w:ind w:right="20"/>
        <w:spacing w:after="0" w:line="241" w:lineRule="auto"/>
        <w:rPr>
          <w:sz w:val="20"/>
          <w:szCs w:val="20"/>
          <w:color w:val="auto"/>
        </w:rPr>
      </w:pPr>
      <w:r>
        <w:rPr>
          <w:rFonts w:ascii="Arial" w:cs="Arial" w:eastAsia="Arial" w:hAnsi="Arial"/>
          <w:sz w:val="18"/>
          <w:szCs w:val="18"/>
          <w:color w:val="auto"/>
        </w:rPr>
        <w:t>We have audited the accompanying statements of net assets available for benefits of the Ingredion Incorporated Retirement Savings Plan for Hourly Employees (the "Plan") as of December 31, 2025 and 2024, the related statement of changes in net assets available for benefits for the year ended December 31, 2025, and the related notes (collectively referred to as the "financial statements"). In our opinion, the financial</w:t>
      </w:r>
    </w:p>
    <w:p>
      <w:pPr>
        <w:spacing w:after="0" w:line="2" w:lineRule="exact"/>
        <w:rPr>
          <w:sz w:val="20"/>
          <w:szCs w:val="20"/>
          <w:color w:val="auto"/>
        </w:rPr>
      </w:pPr>
    </w:p>
    <w:p>
      <w:pPr>
        <w:ind w:right="300"/>
        <w:spacing w:after="0"/>
        <w:rPr>
          <w:sz w:val="20"/>
          <w:szCs w:val="20"/>
          <w:color w:val="auto"/>
        </w:rPr>
      </w:pPr>
      <w:r>
        <w:rPr>
          <w:rFonts w:ascii="Arial" w:cs="Arial" w:eastAsia="Arial" w:hAnsi="Arial"/>
          <w:sz w:val="17"/>
          <w:szCs w:val="17"/>
          <w:color w:val="auto"/>
        </w:rPr>
        <w:t>statements present fairly, in all material respects, the net assets available for benefits of the Plan as of December 31, 2025 and 2024, and the changes in net assets available for benefits for the year ended December 31, 2025, in conformity with accounting principles generally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accepted in the United States of America.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39"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These financial statements are the responsibility of the Plan's management. Our responsibility is to express an opinion on the Plan's financial statements based on our audits. We are a public accounting firm registered with the Public Company Accounting Oversight Board (United States) ("PCAOB") and are required to be independent with respect to the Plan in accordance with the U.S. federal securities laws and the applicable rules and regulations of the Securities and Exchange Commission and the PCAOB.</w:t>
      </w:r>
    </w:p>
    <w:p>
      <w:pPr>
        <w:spacing w:after="0" w:line="201" w:lineRule="exact"/>
        <w:rPr>
          <w:sz w:val="20"/>
          <w:szCs w:val="20"/>
          <w:color w:val="auto"/>
        </w:rPr>
      </w:pPr>
    </w:p>
    <w:p>
      <w:pPr>
        <w:ind w:right="320"/>
        <w:spacing w:after="0" w:line="234"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w:t>
      </w:r>
    </w:p>
    <w:p>
      <w:pPr>
        <w:spacing w:after="0" w:line="1" w:lineRule="exact"/>
        <w:rPr>
          <w:sz w:val="20"/>
          <w:szCs w:val="20"/>
          <w:color w:val="auto"/>
        </w:rPr>
      </w:pPr>
    </w:p>
    <w:p>
      <w:pPr>
        <w:ind w:right="40"/>
        <w:spacing w:after="0" w:line="221" w:lineRule="auto"/>
        <w:rPr>
          <w:sz w:val="20"/>
          <w:szCs w:val="20"/>
          <w:color w:val="auto"/>
        </w:rPr>
      </w:pPr>
      <w:r>
        <w:rPr>
          <w:rFonts w:ascii="Arial" w:cs="Arial" w:eastAsia="Arial" w:hAnsi="Arial"/>
          <w:sz w:val="18"/>
          <w:szCs w:val="18"/>
          <w:color w:val="auto"/>
        </w:rPr>
        <w:t>Plan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Plan’s internal control over financial reporting. Accordingly, we express no such opinion.</w:t>
      </w:r>
    </w:p>
    <w:p>
      <w:pPr>
        <w:spacing w:after="0" w:line="193" w:lineRule="exact"/>
        <w:rPr>
          <w:sz w:val="20"/>
          <w:szCs w:val="20"/>
          <w:color w:val="auto"/>
        </w:rPr>
      </w:pPr>
    </w:p>
    <w:p>
      <w:pPr>
        <w:jc w:val="both"/>
        <w:ind w:right="160"/>
        <w:spacing w:after="0" w:line="215" w:lineRule="auto"/>
        <w:rPr>
          <w:sz w:val="20"/>
          <w:szCs w:val="20"/>
          <w:color w:val="auto"/>
        </w:rPr>
      </w:pPr>
      <w:r>
        <w:rPr>
          <w:rFonts w:ascii="Arial" w:cs="Arial" w:eastAsia="Arial" w:hAnsi="Arial"/>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w:t>
      </w:r>
    </w:p>
    <w:p>
      <w:pPr>
        <w:spacing w:after="0" w:line="2" w:lineRule="exact"/>
        <w:rPr>
          <w:sz w:val="20"/>
          <w:szCs w:val="20"/>
          <w:color w:val="auto"/>
        </w:rPr>
      </w:pPr>
    </w:p>
    <w:p>
      <w:pPr>
        <w:ind w:right="620"/>
        <w:spacing w:after="0" w:line="229" w:lineRule="auto"/>
        <w:rPr>
          <w:sz w:val="20"/>
          <w:szCs w:val="20"/>
          <w:color w:val="auto"/>
        </w:rPr>
      </w:pPr>
      <w:r>
        <w:rPr>
          <w:rFonts w:ascii="Arial" w:cs="Arial" w:eastAsia="Arial" w:hAnsi="Arial"/>
          <w:sz w:val="18"/>
          <w:szCs w:val="18"/>
          <w:color w:val="auto"/>
        </w:rPr>
        <w:t>estimates made by management, as well as evaluating the overall presentation of the financial statements. We believe that our audits provide a reasonable basis for our opinion.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1430020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32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Supplemental Information</w:t>
      </w:r>
    </w:p>
    <w:p>
      <w:pPr>
        <w:spacing w:after="0" w:line="239" w:lineRule="exact"/>
        <w:rPr>
          <w:sz w:val="20"/>
          <w:szCs w:val="20"/>
          <w:color w:val="auto"/>
        </w:rPr>
      </w:pPr>
    </w:p>
    <w:p>
      <w:pPr>
        <w:ind w:right="200"/>
        <w:spacing w:after="0" w:line="239" w:lineRule="auto"/>
        <w:rPr>
          <w:sz w:val="20"/>
          <w:szCs w:val="20"/>
          <w:color w:val="auto"/>
        </w:rPr>
      </w:pPr>
      <w:r>
        <w:rPr>
          <w:rFonts w:ascii="Arial" w:cs="Arial" w:eastAsia="Arial" w:hAnsi="Arial"/>
          <w:sz w:val="18"/>
          <w:szCs w:val="18"/>
          <w:color w:val="auto"/>
        </w:rPr>
        <w:t>The supplemental Schedule H, Line 4a – Schedule of Delinquent Participant Contributions for the year ended December 31, 2025 and Schedule H, Line 4i – Schedule of Assets (Held at End of Year) as of December 31, 2025 have been subjected to audit procedures performed in conjunction with the audit of the Ingredion Incorporated Retirement Savings Plan for Hourly Employees financial statements. The supplemental schedules are the responsibility of the Plan’s management. Our audit procedures included determining whether the information presented in the supplemental schedules reconciles to the financial statements or the underlying accounting and other records, as applicable, and performing procedures to test the completeness and accuracy of the information presented in the supplemental schedules. In forming our opinion on the supplemental schedules, we evaluated whether the supplemental schedules, including their form and content, are presented in conformity with the Department of Labor’s Rules and Regulations for Reporting and Disclosure under the Employee Retirement Income Security Act of 1974. In our opinion, the supplemental schedules are fairly stated in all material respects in relation to the financial statements as a whole.</w:t>
      </w:r>
    </w:p>
    <w:p>
      <w:pPr>
        <w:spacing w:after="0" w:line="200" w:lineRule="exact"/>
        <w:rPr>
          <w:sz w:val="20"/>
          <w:szCs w:val="20"/>
          <w:color w:val="auto"/>
        </w:rPr>
      </w:pPr>
    </w:p>
    <w:p>
      <w:pPr>
        <w:spacing w:after="0" w:line="304"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/s/Crowe LLP</w:t>
      </w:r>
    </w:p>
    <w:p>
      <w:pPr>
        <w:spacing w:after="0" w:line="32"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Crowe LLP</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Plan's auditor since 2007.</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South Bend, Indiana</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June 25,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631825</wp:posOffset>
            </wp:positionV>
            <wp:extent cx="70465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465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1"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INGREDION INCORPORATED RETIREMENT SAVINGS PLAN</w:t>
      </w:r>
    </w:p>
    <w:p>
      <w:pPr>
        <w:jc w:val="center"/>
        <w:spacing w:after="0"/>
        <w:rPr>
          <w:sz w:val="20"/>
          <w:szCs w:val="20"/>
          <w:color w:val="auto"/>
        </w:rPr>
      </w:pPr>
      <w:r>
        <w:rPr>
          <w:rFonts w:ascii="Arial" w:cs="Arial" w:eastAsia="Arial" w:hAnsi="Arial"/>
          <w:sz w:val="18"/>
          <w:szCs w:val="18"/>
          <w:color w:val="auto"/>
        </w:rPr>
        <w:t>FOR HOURLY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Statements of Net Assets Available for Benefits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20" w:type="dxa"/>
            <w:vAlign w:val="bottom"/>
            <w:gridSpan w:val="2"/>
          </w:tcPr>
          <w:p>
            <w:pPr>
              <w:ind w:left="100"/>
              <w:spacing w:after="0"/>
              <w:rPr>
                <w:sz w:val="20"/>
                <w:szCs w:val="20"/>
                <w:color w:val="auto"/>
              </w:rPr>
            </w:pPr>
            <w:r>
              <w:rPr>
                <w:rFonts w:ascii="Arial" w:cs="Arial" w:eastAsia="Arial" w:hAnsi="Arial"/>
                <w:sz w:val="18"/>
                <w:szCs w:val="18"/>
                <w:b w:val="1"/>
                <w:bCs w:val="1"/>
                <w:color w:val="auto"/>
              </w:rPr>
              <w:t>December 31, 2025</w:t>
            </w:r>
          </w:p>
        </w:tc>
        <w:tc>
          <w:tcPr>
            <w:tcW w:w="220" w:type="dxa"/>
            <w:vAlign w:val="bottom"/>
          </w:tcPr>
          <w:p>
            <w:pPr>
              <w:spacing w:after="0"/>
              <w:rPr>
                <w:sz w:val="20"/>
                <w:szCs w:val="20"/>
                <w:color w:val="auto"/>
              </w:rPr>
            </w:pPr>
          </w:p>
        </w:tc>
        <w:tc>
          <w:tcPr>
            <w:tcW w:w="2020" w:type="dxa"/>
            <w:vAlign w:val="bottom"/>
          </w:tcPr>
          <w:p>
            <w:pPr>
              <w:jc w:val="right"/>
              <w:ind w:right="210"/>
              <w:spacing w:after="0"/>
              <w:rPr>
                <w:sz w:val="20"/>
                <w:szCs w:val="20"/>
                <w:color w:val="auto"/>
              </w:rPr>
            </w:pPr>
            <w:r>
              <w:rPr>
                <w:rFonts w:ascii="Arial" w:cs="Arial" w:eastAsia="Arial" w:hAnsi="Arial"/>
                <w:sz w:val="18"/>
                <w:szCs w:val="18"/>
                <w:b w:val="1"/>
                <w:bCs w:val="1"/>
                <w:color w:val="auto"/>
              </w:rPr>
              <w:t>December 31, 2024</w:t>
            </w:r>
          </w:p>
        </w:tc>
      </w:tr>
      <w:tr>
        <w:trPr>
          <w:trHeight w:val="209"/>
        </w:trPr>
        <w:tc>
          <w:tcPr>
            <w:tcW w:w="6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220" w:type="dxa"/>
            <w:vAlign w:val="bottom"/>
            <w:tcBorders>
              <w:top w:val="single" w:sz="8" w:color="auto"/>
            </w:tcBorders>
            <w:shd w:val="clear" w:color="auto" w:fill="CCEEFF"/>
          </w:tcPr>
          <w:p>
            <w:pPr>
              <w:spacing w:after="0"/>
              <w:rPr>
                <w:sz w:val="18"/>
                <w:szCs w:val="18"/>
                <w:color w:val="auto"/>
              </w:rPr>
            </w:pPr>
          </w:p>
        </w:tc>
        <w:tc>
          <w:tcPr>
            <w:tcW w:w="20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2020" w:type="dxa"/>
            <w:vAlign w:val="bottom"/>
            <w:tcBorders>
              <w:top w:val="single" w:sz="8" w:color="auto"/>
            </w:tcBorders>
            <w:shd w:val="clear" w:color="auto" w:fill="CCEEFF"/>
          </w:tcPr>
          <w:p>
            <w:pPr>
              <w:spacing w:after="0"/>
              <w:rPr>
                <w:sz w:val="18"/>
                <w:szCs w:val="18"/>
                <w:color w:val="auto"/>
              </w:rPr>
            </w:pPr>
          </w:p>
        </w:tc>
      </w:tr>
      <w:tr>
        <w:trPr>
          <w:trHeight w:val="216"/>
        </w:trPr>
        <w:tc>
          <w:tcPr>
            <w:tcW w:w="6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20" w:type="dxa"/>
            <w:vAlign w:val="bottom"/>
          </w:tcPr>
          <w:p>
            <w:pPr>
              <w:spacing w:after="0"/>
              <w:rPr>
                <w:sz w:val="18"/>
                <w:szCs w:val="18"/>
                <w:color w:val="auto"/>
              </w:rPr>
            </w:pPr>
          </w:p>
        </w:tc>
      </w:tr>
      <w:tr>
        <w:trPr>
          <w:trHeight w:val="229"/>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Investment in Master Trust – at fair value (Notes 2 and 3)</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133,597,162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124,893,246</w:t>
            </w:r>
          </w:p>
        </w:tc>
      </w:tr>
      <w:tr>
        <w:trPr>
          <w:trHeight w:val="229"/>
        </w:trPr>
        <w:tc>
          <w:tcPr>
            <w:tcW w:w="6640" w:type="dxa"/>
            <w:vAlign w:val="bottom"/>
          </w:tcPr>
          <w:p>
            <w:pPr>
              <w:ind w:left="20"/>
              <w:spacing w:after="0"/>
              <w:rPr>
                <w:sz w:val="20"/>
                <w:szCs w:val="20"/>
                <w:color w:val="auto"/>
              </w:rPr>
            </w:pPr>
            <w:r>
              <w:rPr>
                <w:rFonts w:ascii="Arial" w:cs="Arial" w:eastAsia="Arial" w:hAnsi="Arial"/>
                <w:sz w:val="18"/>
                <w:szCs w:val="18"/>
                <w:color w:val="auto"/>
              </w:rPr>
              <w:t>Receivables:</w:t>
            </w:r>
          </w:p>
        </w:tc>
        <w:tc>
          <w:tcPr>
            <w:tcW w:w="22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230"/>
        </w:trPr>
        <w:tc>
          <w:tcPr>
            <w:tcW w:w="6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Employer Contributions</w:t>
            </w:r>
          </w:p>
        </w:tc>
        <w:tc>
          <w:tcPr>
            <w:tcW w:w="22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392,368</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191,513</w:t>
            </w:r>
          </w:p>
        </w:tc>
      </w:tr>
      <w:tr>
        <w:trPr>
          <w:trHeight w:val="229"/>
        </w:trPr>
        <w:tc>
          <w:tcPr>
            <w:tcW w:w="6640" w:type="dxa"/>
            <w:vAlign w:val="bottom"/>
          </w:tcPr>
          <w:p>
            <w:pPr>
              <w:ind w:left="200"/>
              <w:spacing w:after="0"/>
              <w:rPr>
                <w:sz w:val="20"/>
                <w:szCs w:val="20"/>
                <w:color w:val="auto"/>
              </w:rPr>
            </w:pPr>
            <w:r>
              <w:rPr>
                <w:rFonts w:ascii="Arial" w:cs="Arial" w:eastAsia="Arial" w:hAnsi="Arial"/>
                <w:sz w:val="18"/>
                <w:szCs w:val="18"/>
                <w:color w:val="auto"/>
              </w:rPr>
              <w:t>Participant Contributions</w:t>
            </w:r>
          </w:p>
        </w:tc>
        <w:tc>
          <w:tcPr>
            <w:tcW w:w="22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124,350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292,091</w:t>
            </w:r>
          </w:p>
        </w:tc>
      </w:tr>
      <w:tr>
        <w:trPr>
          <w:trHeight w:val="229"/>
        </w:trPr>
        <w:tc>
          <w:tcPr>
            <w:tcW w:w="6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Notes receivable from participants</w:t>
            </w:r>
          </w:p>
        </w:tc>
        <w:tc>
          <w:tcPr>
            <w:tcW w:w="220" w:type="dxa"/>
            <w:vAlign w:val="bottom"/>
            <w:tcBorders>
              <w:bottom w:val="single" w:sz="8" w:color="auto"/>
            </w:tcBorders>
            <w:shd w:val="clear" w:color="auto" w:fill="CCEEFF"/>
          </w:tcPr>
          <w:p>
            <w:pPr>
              <w:spacing w:after="0"/>
              <w:rPr>
                <w:sz w:val="19"/>
                <w:szCs w:val="19"/>
                <w:color w:val="auto"/>
              </w:rPr>
            </w:pPr>
          </w:p>
        </w:tc>
        <w:tc>
          <w:tcPr>
            <w:tcW w:w="2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4,232,137</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2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4,424,312</w:t>
            </w:r>
          </w:p>
        </w:tc>
      </w:tr>
      <w:tr>
        <w:trPr>
          <w:trHeight w:val="250"/>
        </w:trPr>
        <w:tc>
          <w:tcPr>
            <w:tcW w:w="66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20" w:type="dxa"/>
            <w:vAlign w:val="bottom"/>
          </w:tcPr>
          <w:p>
            <w:pPr>
              <w:spacing w:after="0"/>
              <w:rPr>
                <w:sz w:val="21"/>
                <w:szCs w:val="21"/>
                <w:color w:val="auto"/>
              </w:rPr>
            </w:pPr>
          </w:p>
        </w:tc>
      </w:tr>
      <w:tr>
        <w:trPr>
          <w:trHeight w:val="255"/>
        </w:trPr>
        <w:tc>
          <w:tcPr>
            <w:tcW w:w="6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assets available for benefits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2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138,346,017</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129,801,162</w:t>
            </w: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2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202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754380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financial statements.</w:t>
      </w:r>
    </w:p>
    <w:p>
      <w:pPr>
        <w:spacing w:after="0" w:line="200" w:lineRule="exact"/>
        <w:rPr>
          <w:sz w:val="20"/>
          <w:szCs w:val="20"/>
          <w:color w:val="auto"/>
        </w:rPr>
      </w:pPr>
    </w:p>
    <w:p>
      <w:pPr>
        <w:spacing w:after="0" w:line="20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INGREDION INCORPORATED RETIREMENT SAVINGS PLAN</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HOURLY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Statement of Changes in Net Assets Available for Benefits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December 31, 2025</w:t>
      </w:r>
    </w:p>
    <w:p>
      <w:pPr>
        <w:spacing w:after="0" w:line="293" w:lineRule="exact"/>
        <w:rPr>
          <w:sz w:val="20"/>
          <w:szCs w:val="20"/>
          <w:color w:val="auto"/>
        </w:rPr>
      </w:pPr>
    </w:p>
    <w:p>
      <w:pPr>
        <w:ind w:left="20"/>
        <w:spacing w:after="0"/>
        <w:rPr>
          <w:sz w:val="20"/>
          <w:szCs w:val="20"/>
          <w:color w:val="auto"/>
        </w:rPr>
      </w:pPr>
      <w:r>
        <w:rPr>
          <w:rFonts w:ascii="Arial" w:cs="Arial" w:eastAsia="Arial" w:hAnsi="Arial"/>
          <w:sz w:val="18"/>
          <w:szCs w:val="18"/>
          <w:color w:val="auto"/>
        </w:rPr>
        <w:t>Additions to net assets attributed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046595" cy="1454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46595" cy="145415"/>
                    </a:xfrm>
                    <a:prstGeom prst="rect">
                      <a:avLst/>
                    </a:prstGeom>
                    <a:noFill/>
                  </pic:spPr>
                </pic:pic>
              </a:graphicData>
            </a:graphic>
          </wp:anchor>
        </w:drawing>
      </w:r>
    </w:p>
    <w:p>
      <w:pPr>
        <w:spacing w:after="0" w:line="27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Net investment gain from Master Trust (Notes 2 and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046595" cy="146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46595" cy="146050"/>
                    </a:xfrm>
                    <a:prstGeom prst="rect">
                      <a:avLst/>
                    </a:prstGeom>
                    <a:noFill/>
                  </pic:spPr>
                </pic:pic>
              </a:graphicData>
            </a:graphic>
          </wp:anchor>
        </w:drawing>
      </w:r>
    </w:p>
    <w:p>
      <w:pPr>
        <w:spacing w:after="0" w:line="12" w:lineRule="exact"/>
        <w:rPr>
          <w:sz w:val="20"/>
          <w:szCs w:val="20"/>
          <w:color w:val="auto"/>
        </w:rPr>
      </w:pPr>
    </w:p>
    <w:p>
      <w:pPr>
        <w:ind w:left="140"/>
        <w:spacing w:after="0"/>
        <w:rPr>
          <w:sz w:val="20"/>
          <w:szCs w:val="20"/>
          <w:color w:val="auto"/>
        </w:rPr>
      </w:pPr>
      <w:r>
        <w:rPr>
          <w:rFonts w:ascii="Arial" w:cs="Arial" w:eastAsia="Arial" w:hAnsi="Arial"/>
          <w:sz w:val="18"/>
          <w:szCs w:val="18"/>
          <w:color w:val="auto"/>
        </w:rPr>
        <w:t>Interest income on notes receivable from participants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046595"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046595" cy="171450"/>
                    </a:xfrm>
                    <a:prstGeom prst="rect">
                      <a:avLst/>
                    </a:prstGeom>
                    <a:noFill/>
                  </pic:spPr>
                </pic:pic>
              </a:graphicData>
            </a:graphic>
          </wp:anchor>
        </w:drawing>
      </w:r>
    </w:p>
    <w:p>
      <w:pPr>
        <w:spacing w:after="0" w:line="26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Contributions: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046595" cy="146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46595" cy="146050"/>
                    </a:xfrm>
                    <a:prstGeom prst="rect">
                      <a:avLst/>
                    </a:prstGeom>
                    <a:noFill/>
                  </pic:spPr>
                </pic:pic>
              </a:graphicData>
            </a:graphic>
          </wp:anchor>
        </w:drawing>
      </w:r>
    </w:p>
    <w:p>
      <w:pPr>
        <w:spacing w:after="0" w:line="1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Employer</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Participants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046595" cy="1454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046595" cy="145415"/>
                    </a:xfrm>
                    <a:prstGeom prst="rect">
                      <a:avLst/>
                    </a:prstGeom>
                    <a:noFill/>
                  </pic:spPr>
                </pic:pic>
              </a:graphicData>
            </a:graphic>
          </wp:anchor>
        </w:drawing>
      </w:r>
    </w:p>
    <w:p>
      <w:pPr>
        <w:spacing w:after="0" w:line="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Rollover</w:t>
      </w:r>
    </w:p>
    <w:p>
      <w:pPr>
        <w:spacing w:after="0" w:line="2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Total contributions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046595"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046595" cy="171450"/>
                    </a:xfrm>
                    <a:prstGeom prst="rect">
                      <a:avLst/>
                    </a:prstGeom>
                    <a:noFill/>
                  </pic:spPr>
                </pic:pic>
              </a:graphicData>
            </a:graphic>
          </wp:anchor>
        </w:drawing>
      </w:r>
    </w:p>
    <w:p>
      <w:pPr>
        <w:spacing w:after="0" w:line="273" w:lineRule="exact"/>
        <w:rPr>
          <w:sz w:val="20"/>
          <w:szCs w:val="20"/>
          <w:color w:val="auto"/>
        </w:rPr>
      </w:pPr>
    </w:p>
    <w:p>
      <w:pPr>
        <w:ind w:left="780"/>
        <w:spacing w:after="0"/>
        <w:rPr>
          <w:sz w:val="20"/>
          <w:szCs w:val="20"/>
          <w:color w:val="auto"/>
        </w:rPr>
      </w:pPr>
      <w:r>
        <w:rPr>
          <w:rFonts w:ascii="Arial" w:cs="Arial" w:eastAsia="Arial" w:hAnsi="Arial"/>
          <w:sz w:val="18"/>
          <w:szCs w:val="18"/>
          <w:color w:val="auto"/>
        </w:rPr>
        <w:t>Total additions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046595"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046595" cy="171450"/>
                    </a:xfrm>
                    <a:prstGeom prst="rect">
                      <a:avLst/>
                    </a:prstGeom>
                    <a:noFill/>
                  </pic:spPr>
                </pic:pic>
              </a:graphicData>
            </a:graphic>
          </wp:anchor>
        </w:drawing>
      </w:r>
    </w:p>
    <w:p>
      <w:pPr>
        <w:spacing w:after="0" w:line="273"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Deductions from net assets attributed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046595" cy="1454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046595" cy="145415"/>
                    </a:xfrm>
                    <a:prstGeom prst="rect">
                      <a:avLst/>
                    </a:prstGeom>
                    <a:noFill/>
                  </pic:spPr>
                </pic:pic>
              </a:graphicData>
            </a:graphic>
          </wp:anchor>
        </w:drawing>
      </w:r>
    </w:p>
    <w:p>
      <w:pPr>
        <w:spacing w:after="0" w:line="12" w:lineRule="exact"/>
        <w:rPr>
          <w:sz w:val="20"/>
          <w:szCs w:val="20"/>
          <w:color w:val="auto"/>
        </w:rPr>
      </w:pPr>
    </w:p>
    <w:p>
      <w:pPr>
        <w:ind w:left="140"/>
        <w:spacing w:after="0"/>
        <w:rPr>
          <w:sz w:val="20"/>
          <w:szCs w:val="20"/>
          <w:color w:val="auto"/>
        </w:rPr>
      </w:pPr>
      <w:r>
        <w:rPr>
          <w:rFonts w:ascii="Arial" w:cs="Arial" w:eastAsia="Arial" w:hAnsi="Arial"/>
          <w:sz w:val="18"/>
          <w:szCs w:val="18"/>
          <w:color w:val="auto"/>
        </w:rPr>
        <w:t>Distributions to participants</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Administrative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046595"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046595" cy="171450"/>
                    </a:xfrm>
                    <a:prstGeom prst="rect">
                      <a:avLst/>
                    </a:prstGeom>
                    <a:noFill/>
                  </pic:spPr>
                </pic:pic>
              </a:graphicData>
            </a:graphic>
          </wp:anchor>
        </w:drawing>
      </w:r>
    </w:p>
    <w:p>
      <w:pPr>
        <w:spacing w:after="0" w:line="26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Total deductions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046595"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046595" cy="171450"/>
                    </a:xfrm>
                    <a:prstGeom prst="rect">
                      <a:avLst/>
                    </a:prstGeom>
                    <a:noFill/>
                  </pic:spPr>
                </pic:pic>
              </a:graphicData>
            </a:graphic>
          </wp:anchor>
        </w:drawing>
      </w:r>
    </w:p>
    <w:p>
      <w:pPr>
        <w:spacing w:after="0" w:line="273"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Net increase before transfers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046595"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046595" cy="171450"/>
                    </a:xfrm>
                    <a:prstGeom prst="rect">
                      <a:avLst/>
                    </a:prstGeom>
                    <a:noFill/>
                  </pic:spPr>
                </pic:pic>
              </a:graphicData>
            </a:graphic>
          </wp:anchor>
        </w:drawing>
      </w:r>
    </w:p>
    <w:p>
      <w:pPr>
        <w:spacing w:after="0" w:line="273" w:lineRule="exact"/>
        <w:rPr>
          <w:sz w:val="20"/>
          <w:szCs w:val="20"/>
          <w:color w:val="auto"/>
        </w:rPr>
      </w:pPr>
    </w:p>
    <w:p>
      <w:pPr>
        <w:ind w:left="20"/>
        <w:spacing w:after="0"/>
        <w:rPr>
          <w:sz w:val="20"/>
          <w:szCs w:val="20"/>
          <w:color w:val="auto"/>
        </w:rPr>
      </w:pPr>
      <w:r>
        <w:rPr>
          <w:rFonts w:ascii="Arial" w:cs="Arial" w:eastAsia="Arial" w:hAnsi="Arial"/>
          <w:sz w:val="18"/>
          <w:szCs w:val="18"/>
          <w:color w:val="auto"/>
        </w:rPr>
        <w:t>Transfers from the Plan (Note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046595"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046595" cy="171450"/>
                    </a:xfrm>
                    <a:prstGeom prst="rect">
                      <a:avLst/>
                    </a:prstGeom>
                    <a:noFill/>
                  </pic:spPr>
                </pic:pic>
              </a:graphicData>
            </a:graphic>
          </wp:anchor>
        </w:drawing>
      </w:r>
    </w:p>
    <w:p>
      <w:pPr>
        <w:spacing w:after="0" w:line="273"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Net increase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046595"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046595" cy="171450"/>
                    </a:xfrm>
                    <a:prstGeom prst="rect">
                      <a:avLst/>
                    </a:prstGeom>
                    <a:noFill/>
                  </pic:spPr>
                </pic:pic>
              </a:graphicData>
            </a:graphic>
          </wp:anchor>
        </w:drawing>
      </w:r>
    </w:p>
    <w:p>
      <w:pPr>
        <w:spacing w:after="0" w:line="273"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Net assets available for benefits, beginning of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046595"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046595" cy="171450"/>
                    </a:xfrm>
                    <a:prstGeom prst="rect">
                      <a:avLst/>
                    </a:prstGeom>
                    <a:noFill/>
                  </pic:spPr>
                </pic:pic>
              </a:graphicData>
            </a:graphic>
          </wp:anchor>
        </w:drawing>
      </w:r>
    </w:p>
    <w:p>
      <w:pPr>
        <w:spacing w:after="0" w:line="300"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Net assets available for benefits, end of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926465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685" w:hanging="685"/>
        <w:spacing w:after="0"/>
        <w:tabs>
          <w:tab w:leader="none" w:pos="685" w:val="left"/>
        </w:tabs>
        <w:numPr>
          <w:ilvl w:val="0"/>
          <w:numId w:val="3"/>
        </w:numPr>
        <w:rPr>
          <w:rFonts w:ascii="Arial" w:cs="Arial" w:eastAsia="Arial" w:hAnsi="Arial"/>
          <w:sz w:val="18"/>
          <w:szCs w:val="18"/>
          <w:color w:val="auto"/>
        </w:rPr>
      </w:pPr>
      <w:r>
        <w:rPr>
          <w:rFonts w:ascii="Arial" w:cs="Arial" w:eastAsia="Arial" w:hAnsi="Arial"/>
          <w:sz w:val="18"/>
          <w:szCs w:val="18"/>
          <w:color w:val="auto"/>
        </w:rPr>
        <w:t>16,259,764</w:t>
      </w:r>
    </w:p>
    <w:p>
      <w:pPr>
        <w:spacing w:after="0" w:line="31" w:lineRule="exact"/>
        <w:rPr>
          <w:rFonts w:ascii="Arial" w:cs="Arial" w:eastAsia="Arial" w:hAnsi="Arial"/>
          <w:sz w:val="18"/>
          <w:szCs w:val="18"/>
          <w:color w:val="auto"/>
        </w:rPr>
      </w:pPr>
    </w:p>
    <w:p>
      <w:pPr>
        <w:ind w:left="945"/>
        <w:spacing w:after="0"/>
        <w:rPr>
          <w:rFonts w:ascii="Arial" w:cs="Arial" w:eastAsia="Arial" w:hAnsi="Arial"/>
          <w:sz w:val="18"/>
          <w:szCs w:val="18"/>
          <w:color w:val="auto"/>
        </w:rPr>
      </w:pPr>
      <w:r>
        <w:rPr>
          <w:rFonts w:ascii="Arial" w:cs="Arial" w:eastAsia="Arial" w:hAnsi="Arial"/>
          <w:sz w:val="18"/>
          <w:szCs w:val="18"/>
          <w:color w:val="auto"/>
        </w:rPr>
        <w:t>350,452</w:t>
      </w:r>
    </w:p>
    <w:p>
      <w:pPr>
        <w:spacing w:after="0" w:line="200" w:lineRule="exact"/>
        <w:rPr>
          <w:sz w:val="20"/>
          <w:szCs w:val="20"/>
          <w:color w:val="auto"/>
        </w:rPr>
      </w:pPr>
    </w:p>
    <w:p>
      <w:pPr>
        <w:spacing w:after="0" w:line="313" w:lineRule="exact"/>
        <w:rPr>
          <w:sz w:val="20"/>
          <w:szCs w:val="20"/>
          <w:color w:val="auto"/>
        </w:rPr>
      </w:pPr>
    </w:p>
    <w:p>
      <w:pPr>
        <w:jc w:val="right"/>
        <w:ind w:right="220"/>
        <w:spacing w:after="0"/>
        <w:rPr>
          <w:sz w:val="20"/>
          <w:szCs w:val="20"/>
          <w:color w:val="auto"/>
        </w:rPr>
      </w:pPr>
      <w:r>
        <w:rPr>
          <w:rFonts w:ascii="Arial" w:cs="Arial" w:eastAsia="Arial" w:hAnsi="Arial"/>
          <w:sz w:val="18"/>
          <w:szCs w:val="18"/>
          <w:color w:val="auto"/>
        </w:rPr>
        <w:t>4,820,901</w:t>
      </w:r>
    </w:p>
    <w:p>
      <w:pPr>
        <w:spacing w:after="0" w:line="32" w:lineRule="exact"/>
        <w:rPr>
          <w:sz w:val="20"/>
          <w:szCs w:val="20"/>
          <w:color w:val="auto"/>
        </w:rPr>
      </w:pPr>
    </w:p>
    <w:p>
      <w:pPr>
        <w:jc w:val="right"/>
        <w:ind w:right="220"/>
        <w:spacing w:after="0"/>
        <w:rPr>
          <w:sz w:val="20"/>
          <w:szCs w:val="20"/>
          <w:color w:val="auto"/>
        </w:rPr>
      </w:pPr>
      <w:r>
        <w:rPr>
          <w:rFonts w:ascii="Arial" w:cs="Arial" w:eastAsia="Arial" w:hAnsi="Arial"/>
          <w:sz w:val="18"/>
          <w:szCs w:val="18"/>
          <w:color w:val="auto"/>
        </w:rPr>
        <w:t>4,934,093</w:t>
      </w:r>
    </w:p>
    <w:p>
      <w:pPr>
        <w:spacing w:after="0" w:line="23" w:lineRule="exact"/>
        <w:rPr>
          <w:sz w:val="20"/>
          <w:szCs w:val="20"/>
          <w:color w:val="auto"/>
        </w:rPr>
      </w:pPr>
    </w:p>
    <w:p>
      <w:pPr>
        <w:jc w:val="right"/>
        <w:ind w:right="220"/>
        <w:spacing w:after="0"/>
        <w:rPr>
          <w:sz w:val="20"/>
          <w:szCs w:val="20"/>
          <w:color w:val="auto"/>
        </w:rPr>
      </w:pPr>
      <w:r>
        <w:rPr>
          <w:rFonts w:ascii="Arial" w:cs="Arial" w:eastAsia="Arial" w:hAnsi="Arial"/>
          <w:sz w:val="18"/>
          <w:szCs w:val="18"/>
          <w:color w:val="auto"/>
        </w:rPr>
        <w:t>393,073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12065</wp:posOffset>
            </wp:positionV>
            <wp:extent cx="107188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071880" cy="8890"/>
                    </a:xfrm>
                    <a:prstGeom prst="rect">
                      <a:avLst/>
                    </a:prstGeom>
                    <a:noFill/>
                  </pic:spPr>
                </pic:pic>
              </a:graphicData>
            </a:graphic>
          </wp:anchor>
        </w:drawing>
      </w:r>
    </w:p>
    <w:p>
      <w:pPr>
        <w:spacing w:after="0" w:line="7" w:lineRule="exact"/>
        <w:rPr>
          <w:sz w:val="20"/>
          <w:szCs w:val="20"/>
          <w:color w:val="auto"/>
        </w:rPr>
      </w:pPr>
    </w:p>
    <w:p>
      <w:pPr>
        <w:ind w:left="685"/>
        <w:spacing w:after="0"/>
        <w:rPr>
          <w:sz w:val="20"/>
          <w:szCs w:val="20"/>
          <w:color w:val="auto"/>
        </w:rPr>
      </w:pPr>
      <w:r>
        <w:rPr>
          <w:rFonts w:ascii="Arial" w:cs="Arial" w:eastAsia="Arial" w:hAnsi="Arial"/>
          <w:sz w:val="18"/>
          <w:szCs w:val="18"/>
          <w:color w:val="auto"/>
        </w:rPr>
        <w:t>10,148,067</w:t>
      </w:r>
    </w:p>
    <w:p>
      <w:pPr>
        <w:spacing w:after="0" w:line="293" w:lineRule="exact"/>
        <w:rPr>
          <w:sz w:val="20"/>
          <w:szCs w:val="20"/>
          <w:color w:val="auto"/>
        </w:rPr>
      </w:pPr>
    </w:p>
    <w:p>
      <w:pPr>
        <w:ind w:left="685"/>
        <w:spacing w:after="0"/>
        <w:rPr>
          <w:sz w:val="20"/>
          <w:szCs w:val="20"/>
          <w:color w:val="auto"/>
        </w:rPr>
      </w:pPr>
      <w:r>
        <w:rPr>
          <w:rFonts w:ascii="Arial" w:cs="Arial" w:eastAsia="Arial" w:hAnsi="Arial"/>
          <w:sz w:val="18"/>
          <w:szCs w:val="18"/>
          <w:color w:val="auto"/>
        </w:rPr>
        <w:t>26,758,283</w:t>
      </w:r>
    </w:p>
    <w:p>
      <w:pPr>
        <w:spacing w:after="0" w:line="200" w:lineRule="exact"/>
        <w:rPr>
          <w:sz w:val="20"/>
          <w:szCs w:val="20"/>
          <w:color w:val="auto"/>
        </w:rPr>
      </w:pPr>
    </w:p>
    <w:p>
      <w:pPr>
        <w:spacing w:after="0" w:line="322" w:lineRule="exact"/>
        <w:rPr>
          <w:sz w:val="20"/>
          <w:szCs w:val="20"/>
          <w:color w:val="auto"/>
        </w:rPr>
      </w:pPr>
    </w:p>
    <w:p>
      <w:pPr>
        <w:jc w:val="right"/>
        <w:ind w:right="220"/>
        <w:spacing w:after="0"/>
        <w:rPr>
          <w:sz w:val="20"/>
          <w:szCs w:val="20"/>
          <w:color w:val="auto"/>
        </w:rPr>
      </w:pPr>
      <w:r>
        <w:rPr>
          <w:rFonts w:ascii="Arial" w:cs="Arial" w:eastAsia="Arial" w:hAnsi="Arial"/>
          <w:sz w:val="18"/>
          <w:szCs w:val="18"/>
          <w:color w:val="auto"/>
        </w:rPr>
        <w:t>17,761,518</w:t>
      </w:r>
    </w:p>
    <w:p>
      <w:pPr>
        <w:spacing w:after="0" w:line="32" w:lineRule="exact"/>
        <w:rPr>
          <w:sz w:val="20"/>
          <w:szCs w:val="20"/>
          <w:color w:val="auto"/>
        </w:rPr>
      </w:pPr>
    </w:p>
    <w:p>
      <w:pPr>
        <w:jc w:val="right"/>
        <w:ind w:right="220"/>
        <w:spacing w:after="0"/>
        <w:rPr>
          <w:sz w:val="20"/>
          <w:szCs w:val="20"/>
          <w:color w:val="auto"/>
        </w:rPr>
      </w:pPr>
      <w:r>
        <w:rPr>
          <w:rFonts w:ascii="Arial" w:cs="Arial" w:eastAsia="Arial" w:hAnsi="Arial"/>
          <w:sz w:val="18"/>
          <w:szCs w:val="18"/>
          <w:color w:val="auto"/>
        </w:rPr>
        <w:t>101,691</w:t>
      </w:r>
    </w:p>
    <w:p>
      <w:pPr>
        <w:spacing w:after="0" w:line="283" w:lineRule="exact"/>
        <w:rPr>
          <w:sz w:val="20"/>
          <w:szCs w:val="20"/>
          <w:color w:val="auto"/>
        </w:rPr>
      </w:pPr>
    </w:p>
    <w:p>
      <w:pPr>
        <w:ind w:left="685"/>
        <w:spacing w:after="0"/>
        <w:rPr>
          <w:sz w:val="20"/>
          <w:szCs w:val="20"/>
          <w:color w:val="auto"/>
        </w:rPr>
      </w:pPr>
      <w:r>
        <w:rPr>
          <w:rFonts w:ascii="Arial" w:cs="Arial" w:eastAsia="Arial" w:hAnsi="Arial"/>
          <w:sz w:val="18"/>
          <w:szCs w:val="18"/>
          <w:color w:val="auto"/>
        </w:rPr>
        <w:t>17,863,209</w:t>
      </w:r>
    </w:p>
    <w:p>
      <w:pPr>
        <w:spacing w:after="0" w:line="293" w:lineRule="exact"/>
        <w:rPr>
          <w:sz w:val="20"/>
          <w:szCs w:val="20"/>
          <w:color w:val="auto"/>
        </w:rPr>
      </w:pPr>
    </w:p>
    <w:p>
      <w:pPr>
        <w:ind w:left="785"/>
        <w:spacing w:after="0"/>
        <w:rPr>
          <w:sz w:val="20"/>
          <w:szCs w:val="20"/>
          <w:color w:val="auto"/>
        </w:rPr>
      </w:pPr>
      <w:r>
        <w:rPr>
          <w:rFonts w:ascii="Arial" w:cs="Arial" w:eastAsia="Arial" w:hAnsi="Arial"/>
          <w:sz w:val="18"/>
          <w:szCs w:val="18"/>
          <w:color w:val="auto"/>
        </w:rPr>
        <w:t>8,895,074</w:t>
      </w:r>
    </w:p>
    <w:p>
      <w:pPr>
        <w:spacing w:after="0" w:line="293" w:lineRule="exact"/>
        <w:rPr>
          <w:sz w:val="20"/>
          <w:szCs w:val="20"/>
          <w:color w:val="auto"/>
        </w:rPr>
      </w:pPr>
    </w:p>
    <w:p>
      <w:pPr>
        <w:jc w:val="right"/>
        <w:ind w:right="160"/>
        <w:spacing w:after="0"/>
        <w:rPr>
          <w:sz w:val="20"/>
          <w:szCs w:val="20"/>
          <w:color w:val="auto"/>
        </w:rPr>
      </w:pPr>
      <w:r>
        <w:rPr>
          <w:rFonts w:ascii="Arial" w:cs="Arial" w:eastAsia="Arial" w:hAnsi="Arial"/>
          <w:sz w:val="18"/>
          <w:szCs w:val="18"/>
          <w:color w:val="auto"/>
        </w:rPr>
        <w:t>(350,219)</w:t>
      </w:r>
    </w:p>
    <w:p>
      <w:pPr>
        <w:spacing w:after="0" w:line="293" w:lineRule="exact"/>
        <w:rPr>
          <w:sz w:val="20"/>
          <w:szCs w:val="20"/>
          <w:color w:val="auto"/>
        </w:rPr>
      </w:pPr>
    </w:p>
    <w:p>
      <w:pPr>
        <w:ind w:left="785"/>
        <w:spacing w:after="0"/>
        <w:rPr>
          <w:sz w:val="20"/>
          <w:szCs w:val="20"/>
          <w:color w:val="auto"/>
        </w:rPr>
      </w:pPr>
      <w:r>
        <w:rPr>
          <w:rFonts w:ascii="Arial" w:cs="Arial" w:eastAsia="Arial" w:hAnsi="Arial"/>
          <w:sz w:val="18"/>
          <w:szCs w:val="18"/>
          <w:color w:val="auto"/>
        </w:rPr>
        <w:t>8,544,855</w:t>
      </w:r>
    </w:p>
    <w:p>
      <w:pPr>
        <w:spacing w:after="0" w:line="293" w:lineRule="exact"/>
        <w:rPr>
          <w:sz w:val="20"/>
          <w:szCs w:val="20"/>
          <w:color w:val="auto"/>
        </w:rPr>
      </w:pPr>
    </w:p>
    <w:p>
      <w:pPr>
        <w:ind w:left="585"/>
        <w:spacing w:after="0"/>
        <w:rPr>
          <w:sz w:val="20"/>
          <w:szCs w:val="20"/>
          <w:color w:val="auto"/>
        </w:rPr>
      </w:pPr>
      <w:r>
        <w:rPr>
          <w:rFonts w:ascii="Arial" w:cs="Arial" w:eastAsia="Arial" w:hAnsi="Arial"/>
          <w:sz w:val="18"/>
          <w:szCs w:val="18"/>
          <w:color w:val="auto"/>
        </w:rPr>
        <w:t>129,801,162</w:t>
      </w:r>
    </w:p>
    <w:p>
      <w:pPr>
        <w:spacing w:after="0" w:line="293" w:lineRule="exact"/>
        <w:rPr>
          <w:sz w:val="20"/>
          <w:szCs w:val="20"/>
          <w:color w:val="auto"/>
        </w:rPr>
      </w:pPr>
    </w:p>
    <w:p>
      <w:pPr>
        <w:ind w:left="585" w:hanging="585"/>
        <w:spacing w:after="0"/>
        <w:tabs>
          <w:tab w:leader="none" w:pos="585" w:val="left"/>
        </w:tabs>
        <w:numPr>
          <w:ilvl w:val="0"/>
          <w:numId w:val="4"/>
        </w:numPr>
        <w:rPr>
          <w:rFonts w:ascii="Arial" w:cs="Arial" w:eastAsia="Arial" w:hAnsi="Arial"/>
          <w:sz w:val="18"/>
          <w:szCs w:val="18"/>
          <w:color w:val="auto"/>
        </w:rPr>
      </w:pPr>
      <w:r>
        <w:rPr>
          <w:rFonts w:ascii="Arial" w:cs="Arial" w:eastAsia="Arial" w:hAnsi="Arial"/>
          <w:sz w:val="18"/>
          <w:szCs w:val="18"/>
          <w:color w:val="auto"/>
        </w:rPr>
        <w:t>138,346,017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17780</wp:posOffset>
            </wp:positionV>
            <wp:extent cx="10718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071880" cy="8890"/>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43180</wp:posOffset>
            </wp:positionV>
            <wp:extent cx="107188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071880" cy="8890"/>
                    </a:xfrm>
                    <a:prstGeom prst="rect">
                      <a:avLst/>
                    </a:prstGeom>
                    <a:noFill/>
                  </pic:spPr>
                </pic:pic>
              </a:graphicData>
            </a:graphic>
          </wp:anchor>
        </w:drawing>
      </w:r>
    </w:p>
    <w:p>
      <w:pPr>
        <w:spacing w:after="0" w:line="227" w:lineRule="exact"/>
        <w:rPr>
          <w:sz w:val="20"/>
          <w:szCs w:val="20"/>
          <w:color w:val="auto"/>
        </w:rPr>
      </w:pPr>
    </w:p>
    <w:p>
      <w:pPr>
        <w:sectPr>
          <w:pgSz w:w="11900" w:h="16838" w:orient="portrait"/>
          <w:cols w:equalWidth="0" w:num="2">
            <w:col w:w="8715" w:space="720"/>
            <w:col w:w="1805"/>
          </w:cols>
          <w:pgMar w:left="320" w:top="108"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financial statements.</w:t>
      </w:r>
    </w:p>
    <w:p>
      <w:pPr>
        <w:spacing w:after="0" w:line="14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INGREDION INCORPORATED RETIREMENT SAVINGS PLAN</w:t>
      </w:r>
    </w:p>
    <w:p>
      <w:pPr>
        <w:jc w:val="center"/>
        <w:spacing w:after="0"/>
        <w:rPr>
          <w:sz w:val="20"/>
          <w:szCs w:val="20"/>
          <w:color w:val="auto"/>
        </w:rPr>
      </w:pPr>
      <w:r>
        <w:rPr>
          <w:rFonts w:ascii="Arial" w:cs="Arial" w:eastAsia="Arial" w:hAnsi="Arial"/>
          <w:sz w:val="18"/>
          <w:szCs w:val="18"/>
          <w:color w:val="auto"/>
        </w:rPr>
        <w:t>FOR HOURLY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the Financial Statements</w:t>
      </w:r>
    </w:p>
    <w:p>
      <w:pPr>
        <w:jc w:val="center"/>
        <w:spacing w:after="0"/>
        <w:rPr>
          <w:sz w:val="20"/>
          <w:szCs w:val="20"/>
          <w:color w:val="auto"/>
        </w:rPr>
      </w:pPr>
      <w:r>
        <w:rPr>
          <w:rFonts w:ascii="Arial" w:cs="Arial" w:eastAsia="Arial" w:hAnsi="Arial"/>
          <w:sz w:val="18"/>
          <w:szCs w:val="18"/>
          <w:b w:val="1"/>
          <w:bCs w:val="1"/>
          <w:color w:val="auto"/>
        </w:rPr>
        <w:t>December 31, 2025</w:t>
      </w:r>
    </w:p>
    <w:p>
      <w:pPr>
        <w:spacing w:after="0" w:line="207" w:lineRule="exact"/>
        <w:rPr>
          <w:sz w:val="20"/>
          <w:szCs w:val="20"/>
          <w:color w:val="auto"/>
        </w:rPr>
      </w:pPr>
    </w:p>
    <w:p>
      <w:pPr>
        <w:ind w:left="340" w:right="9300" w:hanging="332"/>
        <w:spacing w:after="0" w:line="493" w:lineRule="auto"/>
        <w:tabs>
          <w:tab w:leader="none" w:pos="316"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Plan General</w:t>
      </w:r>
    </w:p>
    <w:p>
      <w:pPr>
        <w:jc w:val="both"/>
        <w:ind w:left="340"/>
        <w:spacing w:after="0" w:line="215" w:lineRule="auto"/>
        <w:rPr>
          <w:sz w:val="20"/>
          <w:szCs w:val="20"/>
          <w:color w:val="auto"/>
        </w:rPr>
      </w:pPr>
      <w:r>
        <w:rPr>
          <w:rFonts w:ascii="Arial" w:cs="Arial" w:eastAsia="Arial" w:hAnsi="Arial"/>
          <w:sz w:val="18"/>
          <w:szCs w:val="18"/>
          <w:color w:val="auto"/>
        </w:rPr>
        <w:t>The following brief description of the Ingredion Incorporated Retirement Savings Plan for Hourly Employees (the “Plan”) is provided for general informational purposes only. Participants should refer to the plan document or the summary plan description for more complete information. The Plan is a defined contribution plan for the hourly employees of Ingredion Incorporated ("Ingredion" or the “Company”) in</w:t>
      </w:r>
    </w:p>
    <w:p>
      <w:pPr>
        <w:spacing w:after="0" w:line="2" w:lineRule="exact"/>
        <w:rPr>
          <w:sz w:val="20"/>
          <w:szCs w:val="20"/>
          <w:color w:val="auto"/>
        </w:rPr>
      </w:pPr>
    </w:p>
    <w:p>
      <w:pPr>
        <w:jc w:val="both"/>
        <w:ind w:left="340"/>
        <w:spacing w:after="0" w:line="229" w:lineRule="auto"/>
        <w:rPr>
          <w:sz w:val="20"/>
          <w:szCs w:val="20"/>
          <w:color w:val="auto"/>
        </w:rPr>
      </w:pPr>
      <w:r>
        <w:rPr>
          <w:rFonts w:ascii="Arial" w:cs="Arial" w:eastAsia="Arial" w:hAnsi="Arial"/>
          <w:sz w:val="18"/>
          <w:szCs w:val="18"/>
          <w:color w:val="auto"/>
        </w:rPr>
        <w:t>the United States. The Plan allows employees to set aside part of their compensation for retirement. The Plan is subject to the provisions of the Employee Retirement Income Security Act of 1974 (ERISA) as amended.</w:t>
      </w:r>
    </w:p>
    <w:p>
      <w:pPr>
        <w:spacing w:after="0" w:line="181" w:lineRule="exact"/>
        <w:rPr>
          <w:sz w:val="20"/>
          <w:szCs w:val="20"/>
          <w:color w:val="auto"/>
        </w:rPr>
      </w:pPr>
    </w:p>
    <w:p>
      <w:pPr>
        <w:jc w:val="both"/>
        <w:ind w:left="340" w:right="20"/>
        <w:spacing w:after="0"/>
        <w:rPr>
          <w:sz w:val="20"/>
          <w:szCs w:val="20"/>
          <w:color w:val="auto"/>
        </w:rPr>
      </w:pPr>
      <w:r>
        <w:rPr>
          <w:rFonts w:ascii="Arial" w:cs="Arial" w:eastAsia="Arial" w:hAnsi="Arial"/>
          <w:sz w:val="18"/>
          <w:szCs w:val="18"/>
          <w:color w:val="auto"/>
        </w:rPr>
        <w:t>Fidelity Management Trust Company (the “Trustee”) holds the Plan’s investments and executes investment transactions through the trust established pursuant to the Plan.</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Contributions and Vesting</w:t>
      </w:r>
    </w:p>
    <w:p>
      <w:pPr>
        <w:spacing w:after="0" w:line="212" w:lineRule="exact"/>
        <w:rPr>
          <w:sz w:val="20"/>
          <w:szCs w:val="20"/>
          <w:color w:val="auto"/>
        </w:rPr>
      </w:pPr>
    </w:p>
    <w:p>
      <w:pPr>
        <w:jc w:val="both"/>
        <w:ind w:left="340" w:right="20"/>
        <w:spacing w:after="0" w:line="221" w:lineRule="auto"/>
        <w:rPr>
          <w:sz w:val="20"/>
          <w:szCs w:val="20"/>
          <w:color w:val="auto"/>
        </w:rPr>
      </w:pPr>
      <w:r>
        <w:rPr>
          <w:rFonts w:ascii="Arial" w:cs="Arial" w:eastAsia="Arial" w:hAnsi="Arial"/>
          <w:sz w:val="18"/>
          <w:szCs w:val="18"/>
          <w:color w:val="auto"/>
        </w:rPr>
        <w:t>Hourly employees become eligible to contribute to the Plan immediately upon employment. Participants may contribute between 1% and 75% of their gross annual compensation on a before-tax basis, Roth, after-tax basis, or combination of all three, subject to the limits</w:t>
      </w:r>
    </w:p>
    <w:p>
      <w:pPr>
        <w:spacing w:after="0" w:line="1" w:lineRule="exact"/>
        <w:rPr>
          <w:sz w:val="20"/>
          <w:szCs w:val="20"/>
          <w:color w:val="auto"/>
        </w:rPr>
      </w:pPr>
    </w:p>
    <w:p>
      <w:pPr>
        <w:jc w:val="both"/>
        <w:ind w:left="340"/>
        <w:spacing w:after="0" w:line="208" w:lineRule="auto"/>
        <w:rPr>
          <w:sz w:val="20"/>
          <w:szCs w:val="20"/>
          <w:color w:val="auto"/>
        </w:rPr>
      </w:pPr>
      <w:r>
        <w:rPr>
          <w:rFonts w:ascii="Arial" w:cs="Arial" w:eastAsia="Arial" w:hAnsi="Arial"/>
          <w:sz w:val="18"/>
          <w:szCs w:val="18"/>
          <w:color w:val="auto"/>
        </w:rPr>
        <w:t>imposed by the Internal Revenue Code ($ 23,500 for 2025). For certain locations, if the participants had not affirmatively elected to participate (or not to participate) in the Plan within 30 days after becoming an eligible employee (the "30-day election period"), then the participant will automatically be deemed to have elected to participate in the Plan and make tax-deferred contributions of 3% of their</w:t>
      </w:r>
    </w:p>
    <w:p>
      <w:pPr>
        <w:spacing w:after="0" w:line="2" w:lineRule="exact"/>
        <w:rPr>
          <w:sz w:val="20"/>
          <w:szCs w:val="20"/>
          <w:color w:val="auto"/>
        </w:rPr>
      </w:pPr>
    </w:p>
    <w:p>
      <w:pPr>
        <w:jc w:val="both"/>
        <w:ind w:left="340"/>
        <w:spacing w:after="0" w:line="221" w:lineRule="auto"/>
        <w:rPr>
          <w:sz w:val="20"/>
          <w:szCs w:val="20"/>
          <w:color w:val="auto"/>
        </w:rPr>
      </w:pPr>
      <w:r>
        <w:rPr>
          <w:rFonts w:ascii="Arial" w:cs="Arial" w:eastAsia="Arial" w:hAnsi="Arial"/>
          <w:sz w:val="18"/>
          <w:szCs w:val="18"/>
          <w:color w:val="auto"/>
        </w:rPr>
        <w:t>gross annual compensation. The Plan also allows for certain participants age 50 and older to contribute additional tax-deferred contributions. These catch-up contributions were subject to Internal Revenue Service ("IRS") limits of $7,500 in 2025. The Plan also permits participants to make rollover contributions in accordance with the Internal Revenue Code.</w:t>
      </w:r>
    </w:p>
    <w:p>
      <w:pPr>
        <w:spacing w:after="0" w:line="193" w:lineRule="exact"/>
        <w:rPr>
          <w:sz w:val="20"/>
          <w:szCs w:val="20"/>
          <w:color w:val="auto"/>
        </w:rPr>
      </w:pPr>
    </w:p>
    <w:p>
      <w:pPr>
        <w:jc w:val="both"/>
        <w:ind w:left="340"/>
        <w:spacing w:after="0" w:line="215" w:lineRule="auto"/>
        <w:rPr>
          <w:sz w:val="20"/>
          <w:szCs w:val="20"/>
          <w:color w:val="auto"/>
        </w:rPr>
      </w:pPr>
      <w:r>
        <w:rPr>
          <w:rFonts w:ascii="Arial" w:cs="Arial" w:eastAsia="Arial" w:hAnsi="Arial"/>
          <w:sz w:val="18"/>
          <w:szCs w:val="18"/>
          <w:color w:val="auto"/>
        </w:rPr>
        <w:t>The Company makes a matching contribution to the Plan, which is based on a percentage of the contributions made by or on behalf of the participant that together do not exceed a certain percentage of the participant’s compensation for each payroll period during a Plan year. These match formulas vary based on location. The Company will also make an additional non-elective contribution each payroll</w:t>
      </w:r>
    </w:p>
    <w:p>
      <w:pPr>
        <w:spacing w:after="0" w:line="2" w:lineRule="exact"/>
        <w:rPr>
          <w:sz w:val="20"/>
          <w:szCs w:val="20"/>
          <w:color w:val="auto"/>
        </w:rPr>
      </w:pPr>
    </w:p>
    <w:p>
      <w:pPr>
        <w:jc w:val="both"/>
        <w:ind w:left="340"/>
        <w:spacing w:after="0" w:line="229" w:lineRule="auto"/>
        <w:rPr>
          <w:sz w:val="20"/>
          <w:szCs w:val="20"/>
          <w:color w:val="auto"/>
        </w:rPr>
      </w:pPr>
      <w:r>
        <w:rPr>
          <w:rFonts w:ascii="Arial" w:cs="Arial" w:eastAsia="Arial" w:hAnsi="Arial"/>
          <w:sz w:val="18"/>
          <w:szCs w:val="18"/>
          <w:color w:val="auto"/>
        </w:rPr>
        <w:t>period based on a percentage of the participant’s compensation. The formula for the non-elective contribution varies by location. Vesting in the Company matching contribution and vesting in the non-elective contribution account varies by location.</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Participants direct the investment of their contributions and employer contributions into various investment options offered by the Plan.</w:t>
      </w:r>
    </w:p>
    <w:p>
      <w:pPr>
        <w:jc w:val="both"/>
        <w:ind w:left="340"/>
        <w:spacing w:after="0" w:line="229" w:lineRule="auto"/>
        <w:rPr>
          <w:sz w:val="20"/>
          <w:szCs w:val="20"/>
          <w:color w:val="auto"/>
        </w:rPr>
      </w:pPr>
      <w:r>
        <w:rPr>
          <w:rFonts w:ascii="Arial" w:cs="Arial" w:eastAsia="Arial" w:hAnsi="Arial"/>
          <w:sz w:val="18"/>
          <w:szCs w:val="18"/>
          <w:color w:val="auto"/>
        </w:rPr>
        <w:t>The investment funds under the Plan include collective trust funds, a Ingredion stock fund, and various mutual funds. The Ingredion stock fund is primarily invested in the common stock of the Company and money market mutual funds.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898525</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INGREDION INCORPORATED RETIREMENT SAVINGS PLAN</w:t>
      </w:r>
    </w:p>
    <w:p>
      <w:pPr>
        <w:jc w:val="center"/>
        <w:spacing w:after="0"/>
        <w:rPr>
          <w:sz w:val="20"/>
          <w:szCs w:val="20"/>
          <w:color w:val="auto"/>
        </w:rPr>
      </w:pPr>
      <w:r>
        <w:rPr>
          <w:rFonts w:ascii="Arial" w:cs="Arial" w:eastAsia="Arial" w:hAnsi="Arial"/>
          <w:sz w:val="18"/>
          <w:szCs w:val="18"/>
          <w:color w:val="auto"/>
        </w:rPr>
        <w:t>FOR HOURLY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Notes to the Financial Statements, continued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Plan, continued</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Participant Accounts</w:t>
      </w:r>
    </w:p>
    <w:p>
      <w:pPr>
        <w:spacing w:after="0" w:line="212" w:lineRule="exact"/>
        <w:rPr>
          <w:sz w:val="20"/>
          <w:szCs w:val="20"/>
          <w:color w:val="auto"/>
        </w:rPr>
      </w:pPr>
    </w:p>
    <w:p>
      <w:pPr>
        <w:jc w:val="both"/>
        <w:ind w:left="340"/>
        <w:spacing w:after="0" w:line="221" w:lineRule="auto"/>
        <w:rPr>
          <w:sz w:val="20"/>
          <w:szCs w:val="20"/>
          <w:color w:val="auto"/>
        </w:rPr>
      </w:pPr>
      <w:r>
        <w:rPr>
          <w:rFonts w:ascii="Arial" w:cs="Arial" w:eastAsia="Arial" w:hAnsi="Arial"/>
          <w:sz w:val="18"/>
          <w:szCs w:val="18"/>
          <w:color w:val="auto"/>
        </w:rPr>
        <w:t>Individual account balances are maintained for each participant. Each participant’s account is credited with the participant’s contribution, allocations of the Company’s contributions, Plan gains, and charged with Plan losses as well as an allocation of administrative expenses.</w:t>
      </w:r>
    </w:p>
    <w:p>
      <w:pPr>
        <w:spacing w:after="0" w:line="1" w:lineRule="exact"/>
        <w:rPr>
          <w:sz w:val="20"/>
          <w:szCs w:val="20"/>
          <w:color w:val="auto"/>
        </w:rPr>
      </w:pPr>
    </w:p>
    <w:p>
      <w:pPr>
        <w:jc w:val="both"/>
        <w:ind w:left="340"/>
        <w:spacing w:after="0" w:line="208" w:lineRule="auto"/>
        <w:rPr>
          <w:sz w:val="20"/>
          <w:szCs w:val="20"/>
          <w:color w:val="auto"/>
        </w:rPr>
      </w:pPr>
      <w:r>
        <w:rPr>
          <w:rFonts w:ascii="Arial" w:cs="Arial" w:eastAsia="Arial" w:hAnsi="Arial"/>
          <w:sz w:val="18"/>
          <w:szCs w:val="18"/>
          <w:color w:val="auto"/>
        </w:rPr>
        <w:t>Allocations are based on participant earnings or account balances, as defined. Forfeited balances of terminated participants’ non-vested accounts are used to reduce future Company contributions. As of December 31, 2025 and 2024, forfeitures were negligible. The benefit to which a participant is entitled is the benefit that can be provided from the participant’s vested account. Participants have a fully vested</w:t>
      </w:r>
    </w:p>
    <w:p>
      <w:pPr>
        <w:spacing w:after="0" w:line="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interest in all contributions made by them and in the Plan’s earnings/losses on those contributions at all times.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Receivable from Participants</w:t>
      </w:r>
    </w:p>
    <w:p>
      <w:pPr>
        <w:spacing w:after="0" w:line="21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Participants are permitted to obtain loans from their plan accounts while employed by the Company. In general, the amount of the loan</w:t>
      </w:r>
    </w:p>
    <w:p>
      <w:pPr>
        <w:jc w:val="both"/>
        <w:ind w:left="340"/>
        <w:spacing w:after="0" w:line="221" w:lineRule="auto"/>
        <w:rPr>
          <w:sz w:val="20"/>
          <w:szCs w:val="20"/>
          <w:color w:val="auto"/>
        </w:rPr>
      </w:pPr>
      <w:r>
        <w:rPr>
          <w:rFonts w:ascii="Arial" w:cs="Arial" w:eastAsia="Arial" w:hAnsi="Arial"/>
          <w:sz w:val="17"/>
          <w:szCs w:val="17"/>
          <w:color w:val="auto"/>
        </w:rPr>
        <w:t>may not exceed the lesser of $50,000 reduced by the highest outstanding loan balance in a participant’s vested account during the prior 12-month period, or 50% of their vested account balance. The minimum loan amount is $ 500. Loan transactions are treated as a transfer between the investment funds and the loan fund. The loans bear a rate of interest equal to the prime rate as published by Reuters plus</w:t>
      </w:r>
    </w:p>
    <w:p>
      <w:pPr>
        <w:jc w:val="both"/>
        <w:ind w:left="340"/>
        <w:spacing w:after="0" w:line="221" w:lineRule="auto"/>
        <w:rPr>
          <w:sz w:val="20"/>
          <w:szCs w:val="20"/>
          <w:color w:val="auto"/>
        </w:rPr>
      </w:pPr>
      <w:r>
        <w:rPr>
          <w:rFonts w:ascii="Arial" w:cs="Arial" w:eastAsia="Arial" w:hAnsi="Arial"/>
          <w:sz w:val="18"/>
          <w:szCs w:val="18"/>
          <w:color w:val="auto"/>
        </w:rPr>
        <w:t>one percent as of the last business day of the month prior to the date the loan is requested. Loans are repaid through payroll deductions and repayments are reinvested into the participant’s account according to the current investment election. Current outstanding loans will mature through 2036.</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Payment of Benefits</w:t>
      </w:r>
    </w:p>
    <w:p>
      <w:pPr>
        <w:spacing w:after="0" w:line="212" w:lineRule="exact"/>
        <w:rPr>
          <w:sz w:val="20"/>
          <w:szCs w:val="20"/>
          <w:color w:val="auto"/>
        </w:rPr>
      </w:pPr>
    </w:p>
    <w:p>
      <w:pPr>
        <w:jc w:val="both"/>
        <w:ind w:left="340"/>
        <w:spacing w:after="0" w:line="221" w:lineRule="auto"/>
        <w:rPr>
          <w:sz w:val="20"/>
          <w:szCs w:val="20"/>
          <w:color w:val="auto"/>
        </w:rPr>
      </w:pPr>
      <w:r>
        <w:rPr>
          <w:rFonts w:ascii="Arial" w:cs="Arial" w:eastAsia="Arial" w:hAnsi="Arial"/>
          <w:sz w:val="18"/>
          <w:szCs w:val="18"/>
          <w:color w:val="auto"/>
        </w:rPr>
        <w:t>A participant becomes fully vested in all employer contributions upon death, disability or attaining the age of 65. Upon retirement, death or termination, the participant’s benefit will generally be paid in a lump sum. Under certain circumstances, participants may withdraw their</w:t>
      </w:r>
    </w:p>
    <w:p>
      <w:pPr>
        <w:spacing w:after="0" w:line="1" w:lineRule="exact"/>
        <w:rPr>
          <w:sz w:val="20"/>
          <w:szCs w:val="20"/>
          <w:color w:val="auto"/>
        </w:rPr>
      </w:pPr>
    </w:p>
    <w:p>
      <w:pPr>
        <w:jc w:val="both"/>
        <w:ind w:left="340" w:right="20"/>
        <w:spacing w:after="0" w:line="229" w:lineRule="auto"/>
        <w:rPr>
          <w:sz w:val="20"/>
          <w:szCs w:val="20"/>
          <w:color w:val="auto"/>
        </w:rPr>
      </w:pPr>
      <w:r>
        <w:rPr>
          <w:rFonts w:ascii="Arial" w:cs="Arial" w:eastAsia="Arial" w:hAnsi="Arial"/>
          <w:sz w:val="18"/>
          <w:szCs w:val="18"/>
          <w:color w:val="auto"/>
        </w:rPr>
        <w:t>before-tax contributions during their employment with the Company. Withdrawals may be made in the event of financial hardship, as defined in the Plan, or after attainment of age 59 ½ years old.</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Administrative Expenses</w:t>
      </w:r>
    </w:p>
    <w:p>
      <w:pPr>
        <w:spacing w:after="0" w:line="225" w:lineRule="exact"/>
        <w:rPr>
          <w:sz w:val="20"/>
          <w:szCs w:val="20"/>
          <w:color w:val="auto"/>
        </w:rPr>
      </w:pPr>
    </w:p>
    <w:p>
      <w:pPr>
        <w:jc w:val="both"/>
        <w:ind w:left="340" w:right="20"/>
        <w:spacing w:after="0" w:line="227" w:lineRule="auto"/>
        <w:rPr>
          <w:sz w:val="20"/>
          <w:szCs w:val="20"/>
          <w:color w:val="auto"/>
        </w:rPr>
      </w:pPr>
      <w:r>
        <w:rPr>
          <w:rFonts w:ascii="Arial" w:cs="Arial" w:eastAsia="Arial" w:hAnsi="Arial"/>
          <w:sz w:val="18"/>
          <w:szCs w:val="18"/>
          <w:color w:val="auto"/>
        </w:rPr>
        <w:t>Loan origination fees associated with notes receivable are paid by participants and the Plan’s recordkeeping fees are paid by the Plan and are reflected as administrative expenses of the Plan. Certain trustee fees and other administrative expenses are paid by the Company.</w:t>
      </w:r>
    </w:p>
    <w:p>
      <w:pPr>
        <w:spacing w:after="0" w:line="19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Master Trust</w:t>
      </w:r>
    </w:p>
    <w:p>
      <w:pPr>
        <w:spacing w:after="0" w:line="212" w:lineRule="exact"/>
        <w:rPr>
          <w:sz w:val="20"/>
          <w:szCs w:val="20"/>
          <w:color w:val="auto"/>
        </w:rPr>
      </w:pPr>
    </w:p>
    <w:p>
      <w:pPr>
        <w:jc w:val="both"/>
        <w:ind w:left="340"/>
        <w:spacing w:after="0" w:line="221" w:lineRule="auto"/>
        <w:rPr>
          <w:sz w:val="20"/>
          <w:szCs w:val="20"/>
          <w:color w:val="auto"/>
        </w:rPr>
      </w:pPr>
      <w:r>
        <w:rPr>
          <w:rFonts w:ascii="Arial" w:cs="Arial" w:eastAsia="Arial" w:hAnsi="Arial"/>
          <w:sz w:val="18"/>
          <w:szCs w:val="18"/>
          <w:color w:val="auto"/>
        </w:rPr>
        <w:t>Assets of the Plan are co-invested with the assets of the Ingredion Incorporated Retirement Savings Plan for Salaried Employees sponsored by the Company in a commingled investment known as the Ingredion Incorporated Master Trust (the “Master Trust”) for which</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Fidelity Management Trust Company serves as the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597535</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INGREDION INCORPORATED RETIREMENT SAVINGS PLAN</w:t>
      </w:r>
    </w:p>
    <w:p>
      <w:pPr>
        <w:jc w:val="center"/>
        <w:spacing w:after="0"/>
        <w:rPr>
          <w:sz w:val="20"/>
          <w:szCs w:val="20"/>
          <w:color w:val="auto"/>
        </w:rPr>
      </w:pPr>
      <w:r>
        <w:rPr>
          <w:rFonts w:ascii="Arial" w:cs="Arial" w:eastAsia="Arial" w:hAnsi="Arial"/>
          <w:sz w:val="18"/>
          <w:szCs w:val="18"/>
          <w:color w:val="auto"/>
        </w:rPr>
        <w:t>FOR HOURLY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Notes to the Financial Statements, continued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Basis of Presentation</w:t>
      </w:r>
    </w:p>
    <w:p>
      <w:pPr>
        <w:spacing w:after="0" w:line="212" w:lineRule="exact"/>
        <w:rPr>
          <w:sz w:val="20"/>
          <w:szCs w:val="20"/>
          <w:color w:val="auto"/>
        </w:rPr>
      </w:pPr>
    </w:p>
    <w:p>
      <w:pPr>
        <w:jc w:val="both"/>
        <w:ind w:left="340" w:right="20"/>
        <w:spacing w:after="0"/>
        <w:rPr>
          <w:sz w:val="20"/>
          <w:szCs w:val="20"/>
          <w:color w:val="auto"/>
        </w:rPr>
      </w:pPr>
      <w:r>
        <w:rPr>
          <w:rFonts w:ascii="Arial" w:cs="Arial" w:eastAsia="Arial" w:hAnsi="Arial"/>
          <w:sz w:val="18"/>
          <w:szCs w:val="18"/>
          <w:color w:val="auto"/>
        </w:rPr>
        <w:t>The accompanying financial statements are prepared on the accrual basis of accounting in accordance with U.S. Generally Accepted Accounting Principles (“GAAP”).</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Receivable from Participants</w:t>
      </w:r>
    </w:p>
    <w:p>
      <w:pPr>
        <w:spacing w:after="0" w:line="212" w:lineRule="exact"/>
        <w:rPr>
          <w:sz w:val="20"/>
          <w:szCs w:val="20"/>
          <w:color w:val="auto"/>
        </w:rPr>
      </w:pPr>
    </w:p>
    <w:p>
      <w:pPr>
        <w:jc w:val="both"/>
        <w:ind w:left="340"/>
        <w:spacing w:after="0" w:line="221" w:lineRule="auto"/>
        <w:rPr>
          <w:sz w:val="20"/>
          <w:szCs w:val="20"/>
          <w:color w:val="auto"/>
        </w:rPr>
      </w:pPr>
      <w:r>
        <w:rPr>
          <w:rFonts w:ascii="Arial" w:cs="Arial" w:eastAsia="Arial" w:hAnsi="Arial"/>
          <w:sz w:val="18"/>
          <w:szCs w:val="18"/>
          <w:color w:val="auto"/>
        </w:rPr>
        <w:t>Notes receivable from participants are reported at their unpaid principal balance plus any accrued interest, with no allowance for credit losses, as repayments of principal and interest are received through payroll deductions and the notes are collateralized by the</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participants’ account balances.</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Valuation of the Plan and Master Trust Investments</w:t>
      </w:r>
    </w:p>
    <w:p>
      <w:pPr>
        <w:spacing w:after="0" w:line="21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Investments of the Plan and the Master Trust are reported at fair value. The Plan’s interest in the Master Trust is reported at estimated</w:t>
      </w:r>
    </w:p>
    <w:p>
      <w:pPr>
        <w:jc w:val="both"/>
        <w:ind w:left="340"/>
        <w:spacing w:after="0" w:line="221" w:lineRule="auto"/>
        <w:rPr>
          <w:sz w:val="20"/>
          <w:szCs w:val="20"/>
          <w:color w:val="auto"/>
        </w:rPr>
      </w:pPr>
      <w:r>
        <w:rPr>
          <w:rFonts w:ascii="Arial" w:cs="Arial" w:eastAsia="Arial" w:hAnsi="Arial"/>
          <w:sz w:val="17"/>
          <w:szCs w:val="17"/>
          <w:color w:val="auto"/>
        </w:rPr>
        <w:t>fair value based upon the fair values of the underlying investments held within the Master Trust. Each participating plan holds units of participation in the Master Trust. Net assets, investment income (loss), and administrative expenses relating to the Master Trust are allocated to the individual plans based upon their interest in each of the underlying participant-directed investments. Purchases and sales</w:t>
      </w:r>
    </w:p>
    <w:p>
      <w:pPr>
        <w:jc w:val="both"/>
        <w:ind w:left="340"/>
        <w:spacing w:after="0" w:line="229" w:lineRule="auto"/>
        <w:rPr>
          <w:sz w:val="20"/>
          <w:szCs w:val="20"/>
          <w:color w:val="auto"/>
        </w:rPr>
      </w:pPr>
      <w:r>
        <w:rPr>
          <w:rFonts w:ascii="Arial" w:cs="Arial" w:eastAsia="Arial" w:hAnsi="Arial"/>
          <w:sz w:val="18"/>
          <w:szCs w:val="18"/>
          <w:color w:val="auto"/>
        </w:rPr>
        <w:t>of securities are recorded on a trade-date basis. Interest income is recorded on the accrual basis. Dividends are recorded on the ex-dividend date.</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Plan’s investment activities as presented in the Statement of Changes in Net Assets Available for Benefits include the net</w:t>
      </w:r>
    </w:p>
    <w:p>
      <w:pPr>
        <w:jc w:val="both"/>
        <w:ind w:left="340"/>
        <w:spacing w:after="0" w:line="229" w:lineRule="auto"/>
        <w:rPr>
          <w:sz w:val="20"/>
          <w:szCs w:val="20"/>
          <w:color w:val="auto"/>
        </w:rPr>
      </w:pPr>
      <w:r>
        <w:rPr>
          <w:rFonts w:ascii="Arial" w:cs="Arial" w:eastAsia="Arial" w:hAnsi="Arial"/>
          <w:sz w:val="18"/>
          <w:szCs w:val="18"/>
          <w:color w:val="auto"/>
        </w:rPr>
        <w:t>appreciation or depreciation in fair value of investments, which consists of the realized gains or losses on investment sales and the unrealized appreciation or depreciation on investments held at year end.</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Fair value is the price that would be received by the Plan for an asset or paid by the Plan to transfer a liability (an exit price) in an orderly</w:t>
      </w:r>
    </w:p>
    <w:p>
      <w:pPr>
        <w:jc w:val="both"/>
        <w:ind w:left="340"/>
        <w:spacing w:after="0" w:line="208" w:lineRule="auto"/>
        <w:rPr>
          <w:sz w:val="20"/>
          <w:szCs w:val="20"/>
          <w:color w:val="auto"/>
        </w:rPr>
      </w:pPr>
      <w:r>
        <w:rPr>
          <w:rFonts w:ascii="Arial" w:cs="Arial" w:eastAsia="Arial" w:hAnsi="Arial"/>
          <w:sz w:val="18"/>
          <w:szCs w:val="18"/>
          <w:color w:val="auto"/>
        </w:rPr>
        <w:t>transaction between market participants on the measurement date in the Plan’s principal or most advantageous market for the asset or liability. Fair value measurements are determined by maximizing the use of observable inputs and minimizing the use of unobservable inputs. The hierarchy places the highest priority on unadjusted quoted market prices in active markets for identical assets or liabilities</w:t>
      </w:r>
    </w:p>
    <w:p>
      <w:pPr>
        <w:spacing w:after="0" w:line="2" w:lineRule="exact"/>
        <w:rPr>
          <w:sz w:val="20"/>
          <w:szCs w:val="20"/>
          <w:color w:val="auto"/>
        </w:rPr>
      </w:pPr>
    </w:p>
    <w:p>
      <w:pPr>
        <w:jc w:val="both"/>
        <w:ind w:left="340" w:right="20"/>
        <w:spacing w:after="0" w:line="229" w:lineRule="auto"/>
        <w:rPr>
          <w:sz w:val="20"/>
          <w:szCs w:val="20"/>
          <w:color w:val="auto"/>
        </w:rPr>
      </w:pPr>
      <w:r>
        <w:rPr>
          <w:rFonts w:ascii="Arial" w:cs="Arial" w:eastAsia="Arial" w:hAnsi="Arial"/>
          <w:sz w:val="18"/>
          <w:szCs w:val="18"/>
          <w:color w:val="auto"/>
        </w:rPr>
        <w:t>(Level 1 measurements) and gives the lowest priority to unobservable inputs (Level 3 measurements). The three levels of inputs within the fair value hierarchy are defined as follows:</w:t>
      </w:r>
    </w:p>
    <w:p>
      <w:pPr>
        <w:spacing w:after="0" w:line="181" w:lineRule="exact"/>
        <w:rPr>
          <w:sz w:val="20"/>
          <w:szCs w:val="20"/>
          <w:color w:val="auto"/>
        </w:rPr>
      </w:pPr>
    </w:p>
    <w:p>
      <w:pPr>
        <w:ind w:left="980" w:right="20"/>
        <w:spacing w:after="0" w:line="256" w:lineRule="auto"/>
        <w:rPr>
          <w:sz w:val="20"/>
          <w:szCs w:val="20"/>
          <w:color w:val="auto"/>
        </w:rPr>
      </w:pPr>
      <w:r>
        <w:rPr>
          <w:rFonts w:ascii="Arial" w:cs="Arial" w:eastAsia="Arial" w:hAnsi="Arial"/>
          <w:sz w:val="18"/>
          <w:szCs w:val="18"/>
          <w:color w:val="auto"/>
        </w:rPr>
        <w:t>Level 1: Quoted prices (unadjusted) for identical assets or liabilities in active markets that the Plan and the Master Trust have the ability to access as of the measurement date.</w:t>
      </w:r>
    </w:p>
    <w:p>
      <w:pPr>
        <w:spacing w:after="0" w:line="16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Level 2: Significant other observable inputs other than Level 1 prices such as quoted prices for similar assets or liabilities; quoted prices in markets that are not active; or other inputs that are observable or can be corroborated by observable market data.</w:t>
      </w:r>
    </w:p>
    <w:p>
      <w:pPr>
        <w:spacing w:after="0" w:line="19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Level 3: Significant unobservable inputs that reflect the Plan’s and the Master Trust’s own assumptions about the assumptions that market participants would use in pricing an asset or liability.</w:t>
      </w:r>
    </w:p>
    <w:p>
      <w:pPr>
        <w:spacing w:after="0" w:line="180" w:lineRule="exact"/>
        <w:rPr>
          <w:sz w:val="20"/>
          <w:szCs w:val="20"/>
          <w:color w:val="auto"/>
        </w:rPr>
      </w:pPr>
    </w:p>
    <w:p>
      <w:pPr>
        <w:ind w:left="340"/>
        <w:spacing w:after="0" w:line="256" w:lineRule="auto"/>
        <w:rPr>
          <w:sz w:val="20"/>
          <w:szCs w:val="20"/>
          <w:color w:val="auto"/>
        </w:rPr>
      </w:pPr>
      <w:r>
        <w:rPr>
          <w:rFonts w:ascii="Arial" w:cs="Arial" w:eastAsia="Arial" w:hAnsi="Arial"/>
          <w:sz w:val="18"/>
          <w:szCs w:val="18"/>
          <w:color w:val="auto"/>
        </w:rPr>
        <w:t>In some cases, a valuation technique used to measure fair value may include inputs from multiple levels of the fair value hierarchy. The lowest level of significant input determines the placement of the entire fair value measurement in the hierarchy.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INGREDION INCORPORATED RETIREMENT SAVINGS PLAN</w:t>
      </w:r>
    </w:p>
    <w:p>
      <w:pPr>
        <w:jc w:val="center"/>
        <w:spacing w:after="0"/>
        <w:rPr>
          <w:sz w:val="20"/>
          <w:szCs w:val="20"/>
          <w:color w:val="auto"/>
        </w:rPr>
      </w:pPr>
      <w:r>
        <w:rPr>
          <w:rFonts w:ascii="Arial" w:cs="Arial" w:eastAsia="Arial" w:hAnsi="Arial"/>
          <w:sz w:val="18"/>
          <w:szCs w:val="18"/>
          <w:color w:val="auto"/>
        </w:rPr>
        <w:t>FOR HOURLY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Notes to the Financial Statements, continued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Valuation of the Plan and Master Trust Investments, continued</w:t>
      </w:r>
    </w:p>
    <w:p>
      <w:pPr>
        <w:spacing w:after="0" w:line="212" w:lineRule="exact"/>
        <w:rPr>
          <w:sz w:val="20"/>
          <w:szCs w:val="20"/>
          <w:color w:val="auto"/>
        </w:rPr>
      </w:pPr>
    </w:p>
    <w:p>
      <w:pPr>
        <w:jc w:val="both"/>
        <w:ind w:left="340"/>
        <w:spacing w:after="0"/>
        <w:rPr>
          <w:sz w:val="20"/>
          <w:szCs w:val="20"/>
          <w:color w:val="auto"/>
        </w:rPr>
      </w:pPr>
      <w:r>
        <w:rPr>
          <w:rFonts w:ascii="Arial" w:cs="Arial" w:eastAsia="Arial" w:hAnsi="Arial"/>
          <w:sz w:val="18"/>
          <w:szCs w:val="18"/>
          <w:color w:val="auto"/>
        </w:rPr>
        <w:t>The following descriptions of the valuation methods and assumptions used by the Plan and the Master Trust to estimate the fair values of investments apply to investments held directly by the Master Trust.</w:t>
      </w:r>
    </w:p>
    <w:p>
      <w:pPr>
        <w:spacing w:after="0" w:line="194" w:lineRule="exact"/>
        <w:rPr>
          <w:sz w:val="20"/>
          <w:szCs w:val="20"/>
          <w:color w:val="auto"/>
        </w:rPr>
      </w:pPr>
    </w:p>
    <w:p>
      <w:pPr>
        <w:jc w:val="both"/>
        <w:ind w:left="340"/>
        <w:spacing w:after="0"/>
        <w:rPr>
          <w:sz w:val="20"/>
          <w:szCs w:val="20"/>
          <w:color w:val="auto"/>
        </w:rPr>
      </w:pPr>
      <w:r>
        <w:rPr>
          <w:rFonts w:ascii="Arial" w:cs="Arial" w:eastAsia="Arial" w:hAnsi="Arial"/>
          <w:sz w:val="18"/>
          <w:szCs w:val="18"/>
          <w:i w:val="1"/>
          <w:iCs w:val="1"/>
          <w:color w:val="auto"/>
        </w:rPr>
        <w:t>Mutual funds and common stock</w:t>
      </w:r>
      <w:r>
        <w:rPr>
          <w:rFonts w:ascii="Arial" w:cs="Arial" w:eastAsia="Arial" w:hAnsi="Arial"/>
          <w:sz w:val="18"/>
          <w:szCs w:val="18"/>
          <w:color w:val="auto"/>
        </w:rPr>
        <w:t>: The fair values of mutual fund investments and common stock are determined by obtaining quoted</w:t>
      </w:r>
      <w:r>
        <w:rPr>
          <w:rFonts w:ascii="Arial" w:cs="Arial" w:eastAsia="Arial" w:hAnsi="Arial"/>
          <w:sz w:val="18"/>
          <w:szCs w:val="18"/>
          <w:i w:val="1"/>
          <w:iCs w:val="1"/>
          <w:color w:val="auto"/>
        </w:rPr>
        <w:t xml:space="preserve"> </w:t>
      </w:r>
      <w:r>
        <w:rPr>
          <w:rFonts w:ascii="Arial" w:cs="Arial" w:eastAsia="Arial" w:hAnsi="Arial"/>
          <w:sz w:val="18"/>
          <w:szCs w:val="18"/>
          <w:color w:val="auto"/>
        </w:rPr>
        <w:t>prices on nationally recognized securities exchanges (Level 1 inputs).</w:t>
      </w:r>
    </w:p>
    <w:p>
      <w:pPr>
        <w:spacing w:after="0" w:line="180" w:lineRule="exact"/>
        <w:rPr>
          <w:sz w:val="20"/>
          <w:szCs w:val="20"/>
          <w:color w:val="auto"/>
        </w:rPr>
      </w:pPr>
    </w:p>
    <w:p>
      <w:pPr>
        <w:jc w:val="both"/>
        <w:ind w:left="340"/>
        <w:spacing w:after="0" w:line="256" w:lineRule="auto"/>
        <w:rPr>
          <w:sz w:val="20"/>
          <w:szCs w:val="20"/>
          <w:color w:val="auto"/>
        </w:rPr>
      </w:pPr>
      <w:r>
        <w:rPr>
          <w:rFonts w:ascii="Arial" w:cs="Arial" w:eastAsia="Arial" w:hAnsi="Arial"/>
          <w:sz w:val="18"/>
          <w:szCs w:val="18"/>
          <w:i w:val="1"/>
          <w:iCs w:val="1"/>
          <w:color w:val="auto"/>
        </w:rPr>
        <w:t>Money market mutual funds</w:t>
      </w:r>
      <w:r>
        <w:rPr>
          <w:rFonts w:ascii="Arial" w:cs="Arial" w:eastAsia="Arial" w:hAnsi="Arial"/>
          <w:sz w:val="18"/>
          <w:szCs w:val="18"/>
          <w:color w:val="auto"/>
        </w:rPr>
        <w:t>: The fair value of the money market mutual fund investment is determined using significant observable</w:t>
      </w:r>
      <w:r>
        <w:rPr>
          <w:rFonts w:ascii="Arial" w:cs="Arial" w:eastAsia="Arial" w:hAnsi="Arial"/>
          <w:sz w:val="18"/>
          <w:szCs w:val="18"/>
          <w:i w:val="1"/>
          <w:iCs w:val="1"/>
          <w:color w:val="auto"/>
        </w:rPr>
        <w:t xml:space="preserve"> </w:t>
      </w:r>
      <w:r>
        <w:rPr>
          <w:rFonts w:ascii="Arial" w:cs="Arial" w:eastAsia="Arial" w:hAnsi="Arial"/>
          <w:sz w:val="18"/>
          <w:szCs w:val="18"/>
          <w:color w:val="auto"/>
        </w:rPr>
        <w:t>inputs other than level 1 prices (Level 2 inputs).</w:t>
      </w:r>
    </w:p>
    <w:p>
      <w:pPr>
        <w:spacing w:after="0" w:line="166" w:lineRule="exact"/>
        <w:rPr>
          <w:sz w:val="20"/>
          <w:szCs w:val="20"/>
          <w:color w:val="auto"/>
        </w:rPr>
      </w:pPr>
    </w:p>
    <w:p>
      <w:pPr>
        <w:jc w:val="both"/>
        <w:ind w:left="340"/>
        <w:spacing w:after="0"/>
        <w:rPr>
          <w:sz w:val="20"/>
          <w:szCs w:val="20"/>
          <w:color w:val="auto"/>
        </w:rPr>
      </w:pPr>
      <w:r>
        <w:rPr>
          <w:rFonts w:ascii="Arial" w:cs="Arial" w:eastAsia="Arial" w:hAnsi="Arial"/>
          <w:sz w:val="18"/>
          <w:szCs w:val="18"/>
          <w:i w:val="1"/>
          <w:iCs w:val="1"/>
          <w:color w:val="auto"/>
        </w:rPr>
        <w:t>Collective trusts</w:t>
      </w:r>
      <w:r>
        <w:rPr>
          <w:rFonts w:ascii="Arial" w:cs="Arial" w:eastAsia="Arial" w:hAnsi="Arial"/>
          <w:sz w:val="18"/>
          <w:szCs w:val="18"/>
          <w:color w:val="auto"/>
        </w:rPr>
        <w:t>: The fair value of the collective trust investments is determined using significant observable inputs other than level 1</w:t>
      </w:r>
      <w:r>
        <w:rPr>
          <w:rFonts w:ascii="Arial" w:cs="Arial" w:eastAsia="Arial" w:hAnsi="Arial"/>
          <w:sz w:val="18"/>
          <w:szCs w:val="18"/>
          <w:i w:val="1"/>
          <w:iCs w:val="1"/>
          <w:color w:val="auto"/>
        </w:rPr>
        <w:t xml:space="preserve"> </w:t>
      </w:r>
      <w:r>
        <w:rPr>
          <w:rFonts w:ascii="Arial" w:cs="Arial" w:eastAsia="Arial" w:hAnsi="Arial"/>
          <w:sz w:val="18"/>
          <w:szCs w:val="18"/>
          <w:color w:val="auto"/>
        </w:rPr>
        <w:t>prices (Level 2 inputs) or net asset value.</w:t>
      </w:r>
    </w:p>
    <w:p>
      <w:pPr>
        <w:spacing w:after="0" w:line="194" w:lineRule="exact"/>
        <w:rPr>
          <w:sz w:val="20"/>
          <w:szCs w:val="20"/>
          <w:color w:val="auto"/>
        </w:rPr>
      </w:pPr>
    </w:p>
    <w:p>
      <w:pPr>
        <w:jc w:val="both"/>
        <w:ind w:left="340"/>
        <w:spacing w:after="0" w:line="227" w:lineRule="auto"/>
        <w:rPr>
          <w:sz w:val="20"/>
          <w:szCs w:val="20"/>
          <w:color w:val="auto"/>
        </w:rPr>
      </w:pPr>
      <w:r>
        <w:rPr>
          <w:rFonts w:ascii="Arial" w:cs="Arial" w:eastAsia="Arial" w:hAnsi="Arial"/>
          <w:sz w:val="18"/>
          <w:szCs w:val="18"/>
          <w:i w:val="1"/>
          <w:iCs w:val="1"/>
          <w:color w:val="auto"/>
        </w:rPr>
        <w:t>Investments measured at net asset value</w:t>
      </w:r>
      <w:r>
        <w:rPr>
          <w:rFonts w:ascii="Arial" w:cs="Arial" w:eastAsia="Arial" w:hAnsi="Arial"/>
          <w:sz w:val="18"/>
          <w:szCs w:val="18"/>
          <w:color w:val="auto"/>
        </w:rPr>
        <w:t>: The fair value of participation units held in certain collective trust funds is based on the net</w:t>
      </w:r>
      <w:r>
        <w:rPr>
          <w:rFonts w:ascii="Arial" w:cs="Arial" w:eastAsia="Arial" w:hAnsi="Arial"/>
          <w:sz w:val="18"/>
          <w:szCs w:val="18"/>
          <w:i w:val="1"/>
          <w:iCs w:val="1"/>
          <w:color w:val="auto"/>
        </w:rPr>
        <w:t xml:space="preserve"> </w:t>
      </w:r>
      <w:r>
        <w:rPr>
          <w:rFonts w:ascii="Arial" w:cs="Arial" w:eastAsia="Arial" w:hAnsi="Arial"/>
          <w:sz w:val="18"/>
          <w:szCs w:val="18"/>
          <w:color w:val="auto"/>
        </w:rPr>
        <w:t>asset value as reported by the Trustee. Trust units may be redeemed on a daily basis to meet benefit payments and other participant-initiated withdrawals permitted by retirement plans invested in the trust.</w:t>
      </w:r>
    </w:p>
    <w:p>
      <w:pPr>
        <w:spacing w:after="0" w:line="196" w:lineRule="exact"/>
        <w:rPr>
          <w:sz w:val="20"/>
          <w:szCs w:val="20"/>
          <w:color w:val="auto"/>
        </w:rPr>
      </w:pPr>
    </w:p>
    <w:p>
      <w:pPr>
        <w:jc w:val="both"/>
        <w:ind w:left="340"/>
        <w:spacing w:after="0" w:line="227" w:lineRule="auto"/>
        <w:rPr>
          <w:sz w:val="20"/>
          <w:szCs w:val="20"/>
          <w:color w:val="auto"/>
        </w:rPr>
      </w:pPr>
      <w:r>
        <w:rPr>
          <w:rFonts w:ascii="Arial" w:cs="Arial" w:eastAsia="Arial" w:hAnsi="Arial"/>
          <w:sz w:val="18"/>
          <w:szCs w:val="18"/>
          <w:color w:val="auto"/>
        </w:rPr>
        <w:t>Under the terms of the Declaration of Trust, retirement plans invested in the stable value collective trust funds are required to provide either 12 or 30 months’ advance notice to the Trustee prior to redemption of trust units; the notice period may be shortened or waived by the Trustee in its sole discretion.</w:t>
      </w:r>
    </w:p>
    <w:p>
      <w:pPr>
        <w:spacing w:after="0" w:line="196" w:lineRule="exact"/>
        <w:rPr>
          <w:sz w:val="20"/>
          <w:szCs w:val="20"/>
          <w:color w:val="auto"/>
        </w:rPr>
      </w:pPr>
    </w:p>
    <w:p>
      <w:pPr>
        <w:jc w:val="both"/>
        <w:ind w:left="340"/>
        <w:spacing w:after="0" w:line="227" w:lineRule="auto"/>
        <w:rPr>
          <w:sz w:val="20"/>
          <w:szCs w:val="20"/>
          <w:color w:val="auto"/>
        </w:rPr>
      </w:pPr>
      <w:r>
        <w:rPr>
          <w:rFonts w:ascii="Arial" w:cs="Arial" w:eastAsia="Arial" w:hAnsi="Arial"/>
          <w:sz w:val="18"/>
          <w:szCs w:val="18"/>
          <w:color w:val="auto"/>
        </w:rPr>
        <w:t>Under the terms of the Declaration of Trust, retirement plans invested in the life cycle collective trust funds are required to provide up to 30 days' advance notice to the Trustee prior to redemption of trust units; the notice period may be shortened or waived by the Trustee in its sole discretion.</w:t>
      </w:r>
    </w:p>
    <w:p>
      <w:pPr>
        <w:spacing w:after="0" w:line="196" w:lineRule="exact"/>
        <w:rPr>
          <w:sz w:val="20"/>
          <w:szCs w:val="20"/>
          <w:color w:val="auto"/>
        </w:rPr>
      </w:pPr>
    </w:p>
    <w:p>
      <w:pPr>
        <w:jc w:val="both"/>
        <w:ind w:left="340"/>
        <w:spacing w:after="0" w:line="215" w:lineRule="auto"/>
        <w:rPr>
          <w:sz w:val="20"/>
          <w:szCs w:val="20"/>
          <w:color w:val="auto"/>
        </w:rPr>
      </w:pPr>
      <w:r>
        <w:rPr>
          <w:rFonts w:ascii="Arial" w:cs="Arial" w:eastAsia="Arial" w:hAnsi="Arial"/>
          <w:sz w:val="18"/>
          <w:szCs w:val="18"/>
          <w:color w:val="auto"/>
        </w:rPr>
        <w:t>The methods described above may produce a fair value calculation that may not be indicative of net realizable value or reflective of future fair values. Furthermore, while the Plan believes its valuation methods are appropriate and consistent with other market participants, the use of different methodologies</w:t>
      </w:r>
    </w:p>
    <w:p>
      <w:pPr>
        <w:spacing w:after="0" w:line="2" w:lineRule="exact"/>
        <w:rPr>
          <w:sz w:val="20"/>
          <w:szCs w:val="20"/>
          <w:color w:val="auto"/>
        </w:rPr>
      </w:pPr>
    </w:p>
    <w:p>
      <w:pPr>
        <w:jc w:val="both"/>
        <w:ind w:left="340"/>
        <w:spacing w:after="0" w:line="229" w:lineRule="auto"/>
        <w:rPr>
          <w:sz w:val="20"/>
          <w:szCs w:val="20"/>
          <w:color w:val="auto"/>
        </w:rPr>
      </w:pPr>
      <w:r>
        <w:rPr>
          <w:rFonts w:ascii="Arial" w:cs="Arial" w:eastAsia="Arial" w:hAnsi="Arial"/>
          <w:sz w:val="18"/>
          <w:szCs w:val="18"/>
          <w:color w:val="auto"/>
        </w:rPr>
        <w:t>or assumptions to determine the fair value of certain financial instruments could result in a different fair value measurement at the reporting date.</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Use of Estimates</w:t>
      </w:r>
    </w:p>
    <w:p>
      <w:pPr>
        <w:spacing w:after="0" w:line="225" w:lineRule="exact"/>
        <w:rPr>
          <w:sz w:val="20"/>
          <w:szCs w:val="20"/>
          <w:color w:val="auto"/>
        </w:rPr>
      </w:pPr>
    </w:p>
    <w:p>
      <w:pPr>
        <w:jc w:val="both"/>
        <w:ind w:left="340"/>
        <w:spacing w:after="0" w:line="213" w:lineRule="auto"/>
        <w:rPr>
          <w:sz w:val="20"/>
          <w:szCs w:val="20"/>
          <w:color w:val="auto"/>
        </w:rPr>
      </w:pPr>
      <w:r>
        <w:rPr>
          <w:rFonts w:ascii="Arial" w:cs="Arial" w:eastAsia="Arial" w:hAnsi="Arial"/>
          <w:sz w:val="18"/>
          <w:szCs w:val="18"/>
          <w:color w:val="auto"/>
        </w:rPr>
        <w:t>The preparation of financial statements in conformity with GAAP requires the Plan administrator to make estimates and assumptions that affect the reported amounts of assets and liabilities and disclosure</w:t>
      </w:r>
    </w:p>
    <w:p>
      <w:pPr>
        <w:spacing w:after="0" w:line="2" w:lineRule="exact"/>
        <w:rPr>
          <w:sz w:val="20"/>
          <w:szCs w:val="20"/>
          <w:color w:val="auto"/>
        </w:rPr>
      </w:pPr>
    </w:p>
    <w:p>
      <w:pPr>
        <w:jc w:val="both"/>
        <w:ind w:left="340" w:right="20"/>
        <w:spacing w:after="0" w:line="237" w:lineRule="auto"/>
        <w:rPr>
          <w:sz w:val="20"/>
          <w:szCs w:val="20"/>
          <w:color w:val="auto"/>
        </w:rPr>
      </w:pPr>
      <w:r>
        <w:rPr>
          <w:rFonts w:ascii="Arial" w:cs="Arial" w:eastAsia="Arial" w:hAnsi="Arial"/>
          <w:sz w:val="18"/>
          <w:szCs w:val="18"/>
          <w:color w:val="auto"/>
        </w:rPr>
        <w:t>of contingent assets and liabilities at the date of the financial statements and the reported amounts of changes in net assets available for benefits during the reporting period. Actual results could differ from those estimates.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Risks and Uncertainties</w:t>
      </w:r>
    </w:p>
    <w:p>
      <w:pPr>
        <w:spacing w:after="0" w:line="21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Through the Master Trust, the Plan allows participants to direct the investment of their account balance in a number of funds that invest</w:t>
      </w:r>
    </w:p>
    <w:p>
      <w:pPr>
        <w:jc w:val="both"/>
        <w:ind w:left="340"/>
        <w:spacing w:after="0" w:line="208" w:lineRule="auto"/>
        <w:rPr>
          <w:sz w:val="20"/>
          <w:szCs w:val="20"/>
          <w:color w:val="auto"/>
        </w:rPr>
      </w:pPr>
      <w:r>
        <w:rPr>
          <w:rFonts w:ascii="Arial" w:cs="Arial" w:eastAsia="Arial" w:hAnsi="Arial"/>
          <w:sz w:val="18"/>
          <w:szCs w:val="18"/>
          <w:color w:val="auto"/>
        </w:rPr>
        <w:t>in collective trust funds, stocks, mutual funds, and other investments. The values of certain investments are exposed to risks from a variety of factors, such as liquidity, changes in interest rates, fluctuations in market conditions and changes in the credit standing of issuers of investments. Due to the level of risk associated with certain investments and the sensitivity of certain fair value estimates to</w:t>
      </w:r>
    </w:p>
    <w:p>
      <w:pPr>
        <w:spacing w:after="0" w:line="2" w:lineRule="exact"/>
        <w:rPr>
          <w:sz w:val="20"/>
          <w:szCs w:val="20"/>
          <w:color w:val="auto"/>
        </w:rPr>
      </w:pPr>
    </w:p>
    <w:p>
      <w:pPr>
        <w:jc w:val="both"/>
        <w:ind w:left="340"/>
        <w:spacing w:after="0" w:line="221" w:lineRule="auto"/>
        <w:rPr>
          <w:sz w:val="20"/>
          <w:szCs w:val="20"/>
          <w:color w:val="auto"/>
        </w:rPr>
      </w:pPr>
      <w:r>
        <w:rPr>
          <w:rFonts w:ascii="Arial" w:cs="Arial" w:eastAsia="Arial" w:hAnsi="Arial"/>
          <w:sz w:val="18"/>
          <w:szCs w:val="18"/>
          <w:color w:val="auto"/>
        </w:rPr>
        <w:t>changes in valuation assumptions, it is at least reasonably possible that changes in the fair values of investments will occur in the near term and that such changes could materially affect participants’ account balances and the amounts reported in the Statement of Net Assets Available for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906145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10940"/>
        <w:spacing w:after="0"/>
        <w:rPr>
          <w:sz w:val="20"/>
          <w:szCs w:val="20"/>
          <w:color w:val="auto"/>
        </w:rPr>
      </w:pPr>
      <w:r>
        <w:rPr>
          <w:rFonts w:ascii="Arial" w:cs="Arial" w:eastAsia="Arial" w:hAnsi="Arial"/>
          <w:sz w:val="16"/>
          <w:szCs w:val="16"/>
          <w:color w:val="auto"/>
        </w:rPr>
        <w:t>P.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INGREDION INCORPORATED RETIREMENT SAVINGS PLAN</w:t>
      </w:r>
    </w:p>
    <w:p>
      <w:pPr>
        <w:jc w:val="center"/>
        <w:spacing w:after="0"/>
        <w:rPr>
          <w:sz w:val="20"/>
          <w:szCs w:val="20"/>
          <w:color w:val="auto"/>
        </w:rPr>
      </w:pPr>
      <w:r>
        <w:rPr>
          <w:rFonts w:ascii="Arial" w:cs="Arial" w:eastAsia="Arial" w:hAnsi="Arial"/>
          <w:sz w:val="18"/>
          <w:szCs w:val="18"/>
          <w:color w:val="auto"/>
        </w:rPr>
        <w:t>FOR HOURLY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Notes to the Financial Statements, continued</w:t>
      </w:r>
    </w:p>
    <w:p>
      <w:pPr>
        <w:spacing w:after="0" w:line="207" w:lineRule="exact"/>
        <w:rPr>
          <w:sz w:val="20"/>
          <w:szCs w:val="20"/>
          <w:color w:val="auto"/>
        </w:rPr>
      </w:pPr>
    </w:p>
    <w:p>
      <w:pPr>
        <w:ind w:left="340" w:right="6200" w:hanging="332"/>
        <w:spacing w:after="0" w:line="493" w:lineRule="auto"/>
        <w:tabs>
          <w:tab w:leader="none" w:pos="316"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continued Payment of Benefits</w:t>
      </w: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Benefits are recorded when paid.</w:t>
      </w:r>
    </w:p>
    <w:p>
      <w:pPr>
        <w:spacing w:after="0" w:line="200" w:lineRule="exact"/>
        <w:rPr>
          <w:rFonts w:ascii="Arial" w:cs="Arial" w:eastAsia="Arial" w:hAnsi="Arial"/>
          <w:sz w:val="18"/>
          <w:szCs w:val="18"/>
          <w:b w:val="1"/>
          <w:bCs w:val="1"/>
          <w:color w:val="auto"/>
        </w:rPr>
      </w:pPr>
    </w:p>
    <w:p>
      <w:pPr>
        <w:spacing w:after="0" w:line="254" w:lineRule="exact"/>
        <w:rPr>
          <w:rFonts w:ascii="Arial" w:cs="Arial" w:eastAsia="Arial" w:hAnsi="Arial"/>
          <w:sz w:val="18"/>
          <w:szCs w:val="18"/>
          <w:b w:val="1"/>
          <w:bCs w:val="1"/>
          <w:color w:val="auto"/>
        </w:rPr>
      </w:pPr>
    </w:p>
    <w:p>
      <w:pPr>
        <w:ind w:left="260" w:hanging="252"/>
        <w:spacing w:after="0"/>
        <w:tabs>
          <w:tab w:leader="none" w:pos="2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Master Trust Investments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net assets of the Master Trust and the Plan’s interest in the Master Trust as of December 31, 2025 and 2024 were:</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39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color w:val="auto"/>
              </w:rPr>
              <w:t>2025</w:t>
            </w:r>
          </w:p>
        </w:tc>
        <w:tc>
          <w:tcPr>
            <w:tcW w:w="142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8"/>
                <w:szCs w:val="18"/>
                <w:color w:val="auto"/>
                <w:w w:val="94"/>
              </w:rPr>
              <w:t>2024</w:t>
            </w:r>
          </w:p>
        </w:tc>
        <w:tc>
          <w:tcPr>
            <w:tcW w:w="14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3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40" w:type="dxa"/>
            <w:vAlign w:val="bottom"/>
            <w:gridSpan w:val="2"/>
            <w:vMerge w:val="restart"/>
          </w:tcPr>
          <w:p>
            <w:pPr>
              <w:jc w:val="center"/>
              <w:ind w:right="440"/>
              <w:spacing w:after="0"/>
              <w:rPr>
                <w:sz w:val="20"/>
                <w:szCs w:val="20"/>
                <w:color w:val="auto"/>
              </w:rPr>
            </w:pPr>
            <w:r>
              <w:rPr>
                <w:rFonts w:ascii="Arial" w:cs="Arial" w:eastAsia="Arial" w:hAnsi="Arial"/>
                <w:sz w:val="18"/>
                <w:szCs w:val="18"/>
                <w:color w:val="auto"/>
                <w:w w:val="98"/>
              </w:rPr>
              <w:t>Master Trust</w:t>
            </w:r>
          </w:p>
        </w:tc>
        <w:tc>
          <w:tcPr>
            <w:tcW w:w="200" w:type="dxa"/>
            <w:vAlign w:val="bottom"/>
          </w:tcPr>
          <w:p>
            <w:pPr>
              <w:spacing w:after="0"/>
              <w:rPr>
                <w:sz w:val="14"/>
                <w:szCs w:val="14"/>
                <w:color w:val="auto"/>
              </w:rPr>
            </w:pPr>
          </w:p>
        </w:tc>
        <w:tc>
          <w:tcPr>
            <w:tcW w:w="1420" w:type="dxa"/>
            <w:vAlign w:val="bottom"/>
          </w:tcPr>
          <w:p>
            <w:pPr>
              <w:jc w:val="center"/>
              <w:spacing w:after="0" w:line="169" w:lineRule="exact"/>
              <w:rPr>
                <w:sz w:val="20"/>
                <w:szCs w:val="20"/>
                <w:color w:val="auto"/>
              </w:rPr>
            </w:pPr>
            <w:r>
              <w:rPr>
                <w:rFonts w:ascii="Arial" w:cs="Arial" w:eastAsia="Arial" w:hAnsi="Arial"/>
                <w:sz w:val="18"/>
                <w:szCs w:val="18"/>
                <w:color w:val="auto"/>
                <w:w w:val="99"/>
              </w:rPr>
              <w:t>Plan's Interest in</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vMerge w:val="restart"/>
          </w:tcPr>
          <w:p>
            <w:pPr>
              <w:jc w:val="right"/>
              <w:ind w:right="170"/>
              <w:spacing w:after="0"/>
              <w:rPr>
                <w:sz w:val="20"/>
                <w:szCs w:val="20"/>
                <w:color w:val="auto"/>
              </w:rPr>
            </w:pPr>
            <w:r>
              <w:rPr>
                <w:rFonts w:ascii="Arial" w:cs="Arial" w:eastAsia="Arial" w:hAnsi="Arial"/>
                <w:sz w:val="18"/>
                <w:szCs w:val="18"/>
                <w:color w:val="auto"/>
              </w:rPr>
              <w:t>Master Trust</w:t>
            </w: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40" w:type="dxa"/>
            <w:vAlign w:val="bottom"/>
          </w:tcPr>
          <w:p>
            <w:pPr>
              <w:jc w:val="center"/>
              <w:spacing w:after="0" w:line="169" w:lineRule="exact"/>
              <w:rPr>
                <w:sz w:val="20"/>
                <w:szCs w:val="20"/>
                <w:color w:val="auto"/>
              </w:rPr>
            </w:pPr>
            <w:r>
              <w:rPr>
                <w:rFonts w:ascii="Arial" w:cs="Arial" w:eastAsia="Arial" w:hAnsi="Arial"/>
                <w:sz w:val="18"/>
                <w:szCs w:val="18"/>
                <w:color w:val="auto"/>
              </w:rPr>
              <w:t>Plan's Interest in</w:t>
            </w:r>
          </w:p>
        </w:tc>
        <w:tc>
          <w:tcPr>
            <w:tcW w:w="0" w:type="dxa"/>
            <w:vAlign w:val="bottom"/>
          </w:tcPr>
          <w:p>
            <w:pPr>
              <w:spacing w:after="0"/>
              <w:rPr>
                <w:sz w:val="1"/>
                <w:szCs w:val="1"/>
                <w:color w:val="auto"/>
              </w:rPr>
            </w:pPr>
          </w:p>
        </w:tc>
      </w:tr>
      <w:tr>
        <w:trPr>
          <w:trHeight w:val="176"/>
        </w:trPr>
        <w:tc>
          <w:tcPr>
            <w:tcW w:w="3920" w:type="dxa"/>
            <w:vAlign w:val="bottom"/>
            <w:vMerge w:val="restart"/>
          </w:tcPr>
          <w:p>
            <w:pPr>
              <w:ind w:left="20"/>
              <w:spacing w:after="0"/>
              <w:rPr>
                <w:sz w:val="20"/>
                <w:szCs w:val="20"/>
                <w:color w:val="auto"/>
              </w:rPr>
            </w:pPr>
            <w:r>
              <w:rPr>
                <w:rFonts w:ascii="Arial" w:cs="Arial" w:eastAsia="Arial" w:hAnsi="Arial"/>
                <w:sz w:val="18"/>
                <w:szCs w:val="18"/>
                <w:color w:val="auto"/>
              </w:rPr>
              <w:t>Investments at fair value:</w:t>
            </w:r>
          </w:p>
        </w:tc>
        <w:tc>
          <w:tcPr>
            <w:tcW w:w="220" w:type="dxa"/>
            <w:vAlign w:val="bottom"/>
          </w:tcPr>
          <w:p>
            <w:pPr>
              <w:spacing w:after="0"/>
              <w:rPr>
                <w:sz w:val="15"/>
                <w:szCs w:val="15"/>
                <w:color w:val="auto"/>
              </w:rPr>
            </w:pPr>
          </w:p>
        </w:tc>
        <w:tc>
          <w:tcPr>
            <w:tcW w:w="164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700" w:type="dxa"/>
            <w:vAlign w:val="bottom"/>
            <w:gridSpan w:val="2"/>
          </w:tcPr>
          <w:p>
            <w:pPr>
              <w:jc w:val="center"/>
              <w:ind w:right="220"/>
              <w:spacing w:after="0" w:line="176" w:lineRule="exact"/>
              <w:rPr>
                <w:sz w:val="20"/>
                <w:szCs w:val="20"/>
                <w:color w:val="auto"/>
              </w:rPr>
            </w:pPr>
            <w:r>
              <w:rPr>
                <w:rFonts w:ascii="Arial" w:cs="Arial" w:eastAsia="Arial" w:hAnsi="Arial"/>
                <w:sz w:val="18"/>
                <w:szCs w:val="18"/>
                <w:color w:val="auto"/>
                <w:w w:val="98"/>
              </w:rPr>
              <w:t>Master Trust</w:t>
            </w:r>
          </w:p>
        </w:tc>
        <w:tc>
          <w:tcPr>
            <w:tcW w:w="220" w:type="dxa"/>
            <w:vAlign w:val="bottom"/>
          </w:tcPr>
          <w:p>
            <w:pPr>
              <w:spacing w:after="0"/>
              <w:rPr>
                <w:sz w:val="15"/>
                <w:szCs w:val="15"/>
                <w:color w:val="auto"/>
              </w:rPr>
            </w:pPr>
          </w:p>
        </w:tc>
        <w:tc>
          <w:tcPr>
            <w:tcW w:w="136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40" w:type="dxa"/>
            <w:vAlign w:val="bottom"/>
          </w:tcPr>
          <w:p>
            <w:pPr>
              <w:jc w:val="center"/>
              <w:spacing w:after="0" w:line="176" w:lineRule="exact"/>
              <w:rPr>
                <w:sz w:val="20"/>
                <w:szCs w:val="20"/>
                <w:color w:val="auto"/>
              </w:rPr>
            </w:pPr>
            <w:r>
              <w:rPr>
                <w:rFonts w:ascii="Arial" w:cs="Arial" w:eastAsia="Arial" w:hAnsi="Arial"/>
                <w:sz w:val="18"/>
                <w:szCs w:val="18"/>
                <w:color w:val="auto"/>
              </w:rPr>
              <w:t>Master Trust</w:t>
            </w:r>
          </w:p>
        </w:tc>
        <w:tc>
          <w:tcPr>
            <w:tcW w:w="0" w:type="dxa"/>
            <w:vAlign w:val="bottom"/>
          </w:tcPr>
          <w:p>
            <w:pPr>
              <w:spacing w:after="0"/>
              <w:rPr>
                <w:sz w:val="1"/>
                <w:szCs w:val="1"/>
                <w:color w:val="auto"/>
              </w:rPr>
            </w:pPr>
          </w:p>
        </w:tc>
      </w:tr>
      <w:tr>
        <w:trPr>
          <w:trHeight w:val="243"/>
        </w:trPr>
        <w:tc>
          <w:tcPr>
            <w:tcW w:w="3920" w:type="dxa"/>
            <w:vAlign w:val="bottom"/>
            <w:vMerge w:val="continue"/>
          </w:tcPr>
          <w:p>
            <w:pPr>
              <w:spacing w:after="0"/>
              <w:rPr>
                <w:sz w:val="21"/>
                <w:szCs w:val="21"/>
                <w:color w:val="auto"/>
              </w:rPr>
            </w:pPr>
          </w:p>
        </w:tc>
        <w:tc>
          <w:tcPr>
            <w:tcW w:w="220" w:type="dxa"/>
            <w:vAlign w:val="bottom"/>
          </w:tcPr>
          <w:p>
            <w:pPr>
              <w:spacing w:after="0"/>
              <w:rPr>
                <w:sz w:val="21"/>
                <w:szCs w:val="21"/>
                <w:color w:val="auto"/>
              </w:rPr>
            </w:pPr>
          </w:p>
        </w:tc>
        <w:tc>
          <w:tcPr>
            <w:tcW w:w="1640" w:type="dxa"/>
            <w:vAlign w:val="bottom"/>
            <w:gridSpan w:val="2"/>
          </w:tcPr>
          <w:p>
            <w:pPr>
              <w:jc w:val="center"/>
              <w:ind w:right="460"/>
              <w:spacing w:after="0"/>
              <w:rPr>
                <w:sz w:val="20"/>
                <w:szCs w:val="20"/>
                <w:color w:val="auto"/>
              </w:rPr>
            </w:pPr>
            <w:r>
              <w:rPr>
                <w:rFonts w:ascii="Arial" w:cs="Arial" w:eastAsia="Arial" w:hAnsi="Arial"/>
                <w:sz w:val="18"/>
                <w:szCs w:val="18"/>
                <w:color w:val="auto"/>
                <w:w w:val="99"/>
              </w:rPr>
              <w:t>Balances</w:t>
            </w:r>
          </w:p>
        </w:tc>
        <w:tc>
          <w:tcPr>
            <w:tcW w:w="200" w:type="dxa"/>
            <w:vAlign w:val="bottom"/>
          </w:tcPr>
          <w:p>
            <w:pPr>
              <w:spacing w:after="0"/>
              <w:rPr>
                <w:sz w:val="21"/>
                <w:szCs w:val="21"/>
                <w:color w:val="auto"/>
              </w:rPr>
            </w:pPr>
          </w:p>
        </w:tc>
        <w:tc>
          <w:tcPr>
            <w:tcW w:w="1700" w:type="dxa"/>
            <w:vAlign w:val="bottom"/>
            <w:gridSpan w:val="2"/>
          </w:tcPr>
          <w:p>
            <w:pPr>
              <w:jc w:val="center"/>
              <w:ind w:right="240"/>
              <w:spacing w:after="0"/>
              <w:rPr>
                <w:sz w:val="20"/>
                <w:szCs w:val="20"/>
                <w:color w:val="auto"/>
              </w:rPr>
            </w:pPr>
            <w:r>
              <w:rPr>
                <w:rFonts w:ascii="Arial" w:cs="Arial" w:eastAsia="Arial" w:hAnsi="Arial"/>
                <w:sz w:val="18"/>
                <w:szCs w:val="18"/>
                <w:color w:val="auto"/>
                <w:w w:val="99"/>
              </w:rPr>
              <w:t>Balances</w:t>
            </w:r>
          </w:p>
        </w:tc>
        <w:tc>
          <w:tcPr>
            <w:tcW w:w="220" w:type="dxa"/>
            <w:vAlign w:val="bottom"/>
          </w:tcPr>
          <w:p>
            <w:pPr>
              <w:spacing w:after="0"/>
              <w:rPr>
                <w:sz w:val="21"/>
                <w:szCs w:val="21"/>
                <w:color w:val="auto"/>
              </w:rPr>
            </w:pPr>
          </w:p>
        </w:tc>
        <w:tc>
          <w:tcPr>
            <w:tcW w:w="1360" w:type="dxa"/>
            <w:vAlign w:val="bottom"/>
          </w:tcPr>
          <w:p>
            <w:pPr>
              <w:jc w:val="right"/>
              <w:ind w:right="290"/>
              <w:spacing w:after="0"/>
              <w:rPr>
                <w:sz w:val="20"/>
                <w:szCs w:val="20"/>
                <w:color w:val="auto"/>
              </w:rPr>
            </w:pPr>
            <w:r>
              <w:rPr>
                <w:rFonts w:ascii="Arial" w:cs="Arial" w:eastAsia="Arial" w:hAnsi="Arial"/>
                <w:sz w:val="18"/>
                <w:szCs w:val="18"/>
                <w:color w:val="auto"/>
              </w:rPr>
              <w:t>Balances</w:t>
            </w: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9"/>
              </w:rPr>
              <w:t>Balances</w:t>
            </w:r>
          </w:p>
        </w:tc>
        <w:tc>
          <w:tcPr>
            <w:tcW w:w="0" w:type="dxa"/>
            <w:vAlign w:val="bottom"/>
          </w:tcPr>
          <w:p>
            <w:pPr>
              <w:spacing w:after="0"/>
              <w:rPr>
                <w:sz w:val="1"/>
                <w:szCs w:val="1"/>
                <w:color w:val="auto"/>
              </w:rPr>
            </w:pPr>
          </w:p>
        </w:tc>
      </w:tr>
      <w:tr>
        <w:trPr>
          <w:trHeight w:val="223"/>
        </w:trPr>
        <w:tc>
          <w:tcPr>
            <w:tcW w:w="392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Collective trusts</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734,736,237</w:t>
            </w:r>
          </w:p>
        </w:tc>
        <w:tc>
          <w:tcPr>
            <w:tcW w:w="2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115,648,769</w:t>
            </w:r>
          </w:p>
        </w:tc>
        <w:tc>
          <w:tcPr>
            <w:tcW w:w="2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512,053,624</w:t>
            </w:r>
          </w:p>
        </w:tc>
        <w:tc>
          <w:tcPr>
            <w:tcW w:w="60" w:type="dxa"/>
            <w:vAlign w:val="bottom"/>
            <w:tcBorders>
              <w:top w:val="single" w:sz="8" w:color="auto"/>
            </w:tcBorders>
            <w:shd w:val="clear" w:color="auto" w:fill="CCEEFF"/>
          </w:tcPr>
          <w:p>
            <w:pPr>
              <w:spacing w:after="0"/>
              <w:rPr>
                <w:sz w:val="19"/>
                <w:szCs w:val="19"/>
                <w:color w:val="auto"/>
              </w:rPr>
            </w:pPr>
          </w:p>
        </w:tc>
        <w:tc>
          <w:tcPr>
            <w:tcW w:w="2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90,489,570</w:t>
            </w:r>
          </w:p>
        </w:tc>
        <w:tc>
          <w:tcPr>
            <w:tcW w:w="0" w:type="dxa"/>
            <w:vAlign w:val="bottom"/>
          </w:tcPr>
          <w:p>
            <w:pPr>
              <w:spacing w:after="0"/>
              <w:rPr>
                <w:sz w:val="1"/>
                <w:szCs w:val="1"/>
                <w:color w:val="auto"/>
              </w:rPr>
            </w:pPr>
          </w:p>
        </w:tc>
      </w:tr>
      <w:tr>
        <w:trPr>
          <w:trHeight w:val="229"/>
        </w:trPr>
        <w:tc>
          <w:tcPr>
            <w:tcW w:w="3920" w:type="dxa"/>
            <w:vAlign w:val="bottom"/>
          </w:tcPr>
          <w:p>
            <w:pPr>
              <w:ind w:left="360"/>
              <w:spacing w:after="0"/>
              <w:rPr>
                <w:sz w:val="20"/>
                <w:szCs w:val="20"/>
                <w:color w:val="auto"/>
              </w:rPr>
            </w:pPr>
            <w:r>
              <w:rPr>
                <w:rFonts w:ascii="Arial" w:cs="Arial" w:eastAsia="Arial" w:hAnsi="Arial"/>
                <w:sz w:val="18"/>
                <w:szCs w:val="18"/>
                <w:color w:val="auto"/>
              </w:rPr>
              <w:t>Ingredion common stock</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19,688,733</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3,824,662</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25,611,171</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5,537,596</w:t>
            </w:r>
          </w:p>
        </w:tc>
        <w:tc>
          <w:tcPr>
            <w:tcW w:w="0" w:type="dxa"/>
            <w:vAlign w:val="bottom"/>
          </w:tcPr>
          <w:p>
            <w:pPr>
              <w:spacing w:after="0"/>
              <w:rPr>
                <w:sz w:val="1"/>
                <w:szCs w:val="1"/>
                <w:color w:val="auto"/>
              </w:rPr>
            </w:pPr>
          </w:p>
        </w:tc>
      </w:tr>
      <w:tr>
        <w:trPr>
          <w:trHeight w:val="230"/>
        </w:trPr>
        <w:tc>
          <w:tcPr>
            <w:tcW w:w="3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Mutual funds</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75,155,264</w:t>
            </w: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13,742,105</w:t>
            </w:r>
          </w:p>
        </w:tc>
        <w:tc>
          <w:tcPr>
            <w:tcW w:w="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228,439,096</w:t>
            </w: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28,729,594</w:t>
            </w:r>
          </w:p>
        </w:tc>
        <w:tc>
          <w:tcPr>
            <w:tcW w:w="0" w:type="dxa"/>
            <w:vAlign w:val="bottom"/>
          </w:tcPr>
          <w:p>
            <w:pPr>
              <w:spacing w:after="0"/>
              <w:rPr>
                <w:sz w:val="1"/>
                <w:szCs w:val="1"/>
                <w:color w:val="auto"/>
              </w:rPr>
            </w:pPr>
          </w:p>
        </w:tc>
      </w:tr>
      <w:tr>
        <w:trPr>
          <w:trHeight w:val="229"/>
        </w:trPr>
        <w:tc>
          <w:tcPr>
            <w:tcW w:w="39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Money market mutual funds</w:t>
            </w: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1,305,218</w:t>
            </w:r>
          </w:p>
        </w:tc>
        <w:tc>
          <w:tcPr>
            <w:tcW w:w="2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381,626</w:t>
            </w:r>
          </w:p>
        </w:tc>
        <w:tc>
          <w:tcPr>
            <w:tcW w:w="2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407,516</w:t>
            </w:r>
          </w:p>
        </w:tc>
        <w:tc>
          <w:tcPr>
            <w:tcW w:w="60" w:type="dxa"/>
            <w:vAlign w:val="bottom"/>
            <w:tcBorders>
              <w:bottom w:val="single" w:sz="8" w:color="auto"/>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136,486</w:t>
            </w:r>
          </w:p>
        </w:tc>
        <w:tc>
          <w:tcPr>
            <w:tcW w:w="0" w:type="dxa"/>
            <w:vAlign w:val="bottom"/>
          </w:tcPr>
          <w:p>
            <w:pPr>
              <w:spacing w:after="0"/>
              <w:rPr>
                <w:sz w:val="1"/>
                <w:szCs w:val="1"/>
                <w:color w:val="auto"/>
              </w:rPr>
            </w:pPr>
          </w:p>
        </w:tc>
      </w:tr>
      <w:tr>
        <w:trPr>
          <w:trHeight w:val="248"/>
        </w:trPr>
        <w:tc>
          <w:tcPr>
            <w:tcW w:w="3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assets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830,885,452</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133,597,162</w:t>
            </w:r>
          </w:p>
        </w:tc>
        <w:tc>
          <w:tcPr>
            <w:tcW w:w="2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766,511,407</w:t>
            </w:r>
          </w:p>
        </w:tc>
        <w:tc>
          <w:tcPr>
            <w:tcW w:w="60" w:type="dxa"/>
            <w:vAlign w:val="bottom"/>
            <w:tcBorders>
              <w:bottom w:val="single" w:sz="8" w:color="auto"/>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124,893,246</w:t>
            </w:r>
          </w:p>
        </w:tc>
        <w:tc>
          <w:tcPr>
            <w:tcW w:w="0" w:type="dxa"/>
            <w:vAlign w:val="bottom"/>
          </w:tcPr>
          <w:p>
            <w:pPr>
              <w:spacing w:after="0"/>
              <w:rPr>
                <w:sz w:val="1"/>
                <w:szCs w:val="1"/>
                <w:color w:val="auto"/>
              </w:rPr>
            </w:pPr>
          </w:p>
        </w:tc>
      </w:tr>
      <w:tr>
        <w:trPr>
          <w:trHeight w:val="20"/>
        </w:trPr>
        <w:tc>
          <w:tcPr>
            <w:tcW w:w="39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Net investment income for the Master Trust as well as the Plan’s interest in the Master Trust income for the year ended December 31, 2025 is summarized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40" w:type="dxa"/>
            <w:vAlign w:val="bottom"/>
            <w:gridSpan w:val="2"/>
            <w:vMerge w:val="restart"/>
          </w:tcPr>
          <w:p>
            <w:pPr>
              <w:ind w:left="160"/>
              <w:spacing w:after="0"/>
              <w:rPr>
                <w:sz w:val="20"/>
                <w:szCs w:val="20"/>
                <w:color w:val="auto"/>
              </w:rPr>
            </w:pPr>
            <w:r>
              <w:rPr>
                <w:rFonts w:ascii="Arial" w:cs="Arial" w:eastAsia="Arial" w:hAnsi="Arial"/>
                <w:sz w:val="18"/>
                <w:szCs w:val="18"/>
                <w:color w:val="auto"/>
              </w:rPr>
              <w:t>Master Trust</w:t>
            </w:r>
          </w:p>
        </w:tc>
        <w:tc>
          <w:tcPr>
            <w:tcW w:w="200" w:type="dxa"/>
            <w:vAlign w:val="bottom"/>
          </w:tcPr>
          <w:p>
            <w:pPr>
              <w:spacing w:after="0"/>
              <w:rPr>
                <w:sz w:val="18"/>
                <w:szCs w:val="18"/>
                <w:color w:val="auto"/>
              </w:rPr>
            </w:pPr>
          </w:p>
        </w:tc>
        <w:tc>
          <w:tcPr>
            <w:tcW w:w="1680" w:type="dxa"/>
            <w:vAlign w:val="bottom"/>
          </w:tcPr>
          <w:p>
            <w:pPr>
              <w:jc w:val="right"/>
              <w:ind w:right="190"/>
              <w:spacing w:after="0"/>
              <w:rPr>
                <w:sz w:val="20"/>
                <w:szCs w:val="20"/>
                <w:color w:val="auto"/>
              </w:rPr>
            </w:pPr>
            <w:r>
              <w:rPr>
                <w:rFonts w:ascii="Arial" w:cs="Arial" w:eastAsia="Arial" w:hAnsi="Arial"/>
                <w:sz w:val="18"/>
                <w:szCs w:val="18"/>
                <w:color w:val="auto"/>
              </w:rPr>
              <w:t>Plan's Interest in</w:t>
            </w:r>
          </w:p>
        </w:tc>
        <w:tc>
          <w:tcPr>
            <w:tcW w:w="0" w:type="dxa"/>
            <w:vAlign w:val="bottom"/>
          </w:tcPr>
          <w:p>
            <w:pPr>
              <w:spacing w:after="0"/>
              <w:rPr>
                <w:sz w:val="1"/>
                <w:szCs w:val="1"/>
                <w:color w:val="auto"/>
              </w:rPr>
            </w:pPr>
          </w:p>
        </w:tc>
      </w:tr>
      <w:tr>
        <w:trPr>
          <w:trHeight w:val="235"/>
        </w:trPr>
        <w:tc>
          <w:tcPr>
            <w:tcW w:w="7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40" w:type="dxa"/>
            <w:vAlign w:val="bottom"/>
            <w:gridSpan w:val="2"/>
            <w:vMerge w:val="continue"/>
          </w:tcPr>
          <w:p>
            <w:pPr>
              <w:spacing w:after="0"/>
              <w:rPr>
                <w:sz w:val="20"/>
                <w:szCs w:val="20"/>
                <w:color w:val="auto"/>
              </w:rPr>
            </w:pPr>
          </w:p>
        </w:tc>
        <w:tc>
          <w:tcPr>
            <w:tcW w:w="200" w:type="dxa"/>
            <w:vAlign w:val="bottom"/>
          </w:tcPr>
          <w:p>
            <w:pPr>
              <w:spacing w:after="0"/>
              <w:rPr>
                <w:sz w:val="20"/>
                <w:szCs w:val="20"/>
                <w:color w:val="auto"/>
              </w:rPr>
            </w:pPr>
          </w:p>
        </w:tc>
        <w:tc>
          <w:tcPr>
            <w:tcW w:w="1680" w:type="dxa"/>
            <w:vAlign w:val="bottom"/>
          </w:tcPr>
          <w:p>
            <w:pPr>
              <w:jc w:val="right"/>
              <w:ind w:right="350"/>
              <w:spacing w:after="0"/>
              <w:rPr>
                <w:sz w:val="20"/>
                <w:szCs w:val="20"/>
                <w:color w:val="auto"/>
              </w:rPr>
            </w:pPr>
            <w:r>
              <w:rPr>
                <w:rFonts w:ascii="Arial" w:cs="Arial" w:eastAsia="Arial" w:hAnsi="Arial"/>
                <w:sz w:val="18"/>
                <w:szCs w:val="18"/>
                <w:color w:val="auto"/>
              </w:rPr>
              <w:t>Master Trust</w:t>
            </w:r>
          </w:p>
        </w:tc>
        <w:tc>
          <w:tcPr>
            <w:tcW w:w="0" w:type="dxa"/>
            <w:vAlign w:val="bottom"/>
          </w:tcPr>
          <w:p>
            <w:pPr>
              <w:spacing w:after="0"/>
              <w:rPr>
                <w:sz w:val="1"/>
                <w:szCs w:val="1"/>
                <w:color w:val="auto"/>
              </w:rPr>
            </w:pPr>
          </w:p>
        </w:tc>
      </w:tr>
      <w:tr>
        <w:trPr>
          <w:trHeight w:val="223"/>
        </w:trPr>
        <w:tc>
          <w:tcPr>
            <w:tcW w:w="724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Net appreciation in fair value of investments</w:t>
            </w: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101,888,520</w:t>
            </w:r>
          </w:p>
        </w:tc>
        <w:tc>
          <w:tcPr>
            <w:tcW w:w="24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14,714,097</w:t>
            </w:r>
          </w:p>
        </w:tc>
        <w:tc>
          <w:tcPr>
            <w:tcW w:w="0" w:type="dxa"/>
            <w:vAlign w:val="bottom"/>
          </w:tcPr>
          <w:p>
            <w:pPr>
              <w:spacing w:after="0"/>
              <w:rPr>
                <w:sz w:val="1"/>
                <w:szCs w:val="1"/>
                <w:color w:val="auto"/>
              </w:rPr>
            </w:pPr>
          </w:p>
        </w:tc>
      </w:tr>
      <w:tr>
        <w:trPr>
          <w:trHeight w:val="230"/>
        </w:trPr>
        <w:tc>
          <w:tcPr>
            <w:tcW w:w="72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Dividend and interest income</w:t>
            </w:r>
          </w:p>
        </w:tc>
        <w:tc>
          <w:tcPr>
            <w:tcW w:w="2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8,028,138</w:t>
            </w:r>
          </w:p>
        </w:tc>
        <w:tc>
          <w:tcPr>
            <w:tcW w:w="2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1,545,667</w:t>
            </w:r>
          </w:p>
        </w:tc>
        <w:tc>
          <w:tcPr>
            <w:tcW w:w="0" w:type="dxa"/>
            <w:vAlign w:val="bottom"/>
          </w:tcPr>
          <w:p>
            <w:pPr>
              <w:spacing w:after="0"/>
              <w:rPr>
                <w:sz w:val="1"/>
                <w:szCs w:val="1"/>
                <w:color w:val="auto"/>
              </w:rPr>
            </w:pPr>
          </w:p>
        </w:tc>
      </w:tr>
      <w:tr>
        <w:trPr>
          <w:trHeight w:val="248"/>
        </w:trPr>
        <w:tc>
          <w:tcPr>
            <w:tcW w:w="72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Investment Income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109,916,658</w:t>
            </w:r>
          </w:p>
        </w:tc>
        <w:tc>
          <w:tcPr>
            <w:tcW w:w="2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16,259,764</w:t>
            </w:r>
          </w:p>
        </w:tc>
        <w:tc>
          <w:tcPr>
            <w:tcW w:w="0" w:type="dxa"/>
            <w:vAlign w:val="bottom"/>
          </w:tcPr>
          <w:p>
            <w:pPr>
              <w:spacing w:after="0"/>
              <w:rPr>
                <w:sz w:val="1"/>
                <w:szCs w:val="1"/>
                <w:color w:val="auto"/>
              </w:rPr>
            </w:pPr>
          </w:p>
        </w:tc>
      </w:tr>
      <w:tr>
        <w:trPr>
          <w:trHeight w:val="20"/>
        </w:trPr>
        <w:tc>
          <w:tcPr>
            <w:tcW w:w="72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2520315</wp:posOffset>
            </wp:positionV>
            <wp:extent cx="71323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10940"/>
        <w:spacing w:after="0"/>
        <w:rPr>
          <w:sz w:val="20"/>
          <w:szCs w:val="20"/>
          <w:color w:val="auto"/>
        </w:rPr>
      </w:pPr>
      <w:r>
        <w:rPr>
          <w:rFonts w:ascii="Arial" w:cs="Arial" w:eastAsia="Arial" w:hAnsi="Arial"/>
          <w:sz w:val="16"/>
          <w:szCs w:val="16"/>
          <w:color w:val="auto"/>
        </w:rPr>
        <w:t>P.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INGREDION INCORPORATED RETIREMENT SAVINGS PLAN</w:t>
      </w:r>
    </w:p>
    <w:p>
      <w:pPr>
        <w:jc w:val="center"/>
        <w:spacing w:after="0"/>
        <w:rPr>
          <w:sz w:val="20"/>
          <w:szCs w:val="20"/>
          <w:color w:val="auto"/>
        </w:rPr>
      </w:pPr>
      <w:r>
        <w:rPr>
          <w:rFonts w:ascii="Arial" w:cs="Arial" w:eastAsia="Arial" w:hAnsi="Arial"/>
          <w:sz w:val="18"/>
          <w:szCs w:val="18"/>
          <w:color w:val="auto"/>
        </w:rPr>
        <w:t>FOR HOURLY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Notes to the Financial Statements, continued</w:t>
      </w:r>
    </w:p>
    <w:p>
      <w:pPr>
        <w:spacing w:after="0" w:line="207" w:lineRule="exact"/>
        <w:rPr>
          <w:sz w:val="20"/>
          <w:szCs w:val="20"/>
          <w:color w:val="auto"/>
        </w:rPr>
      </w:pPr>
    </w:p>
    <w:p>
      <w:pPr>
        <w:ind w:left="260" w:hanging="252"/>
        <w:spacing w:after="0"/>
        <w:tabs>
          <w:tab w:leader="none" w:pos="2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Master Trust Investments, continued</w:t>
      </w:r>
    </w:p>
    <w:p>
      <w:pPr>
        <w:spacing w:after="0" w:line="225" w:lineRule="exact"/>
        <w:rPr>
          <w:rFonts w:ascii="Arial" w:cs="Arial" w:eastAsia="Arial" w:hAnsi="Arial"/>
          <w:sz w:val="18"/>
          <w:szCs w:val="18"/>
          <w:b w:val="1"/>
          <w:bCs w:val="1"/>
          <w:color w:val="auto"/>
        </w:rPr>
      </w:pPr>
    </w:p>
    <w:p>
      <w:pPr>
        <w:ind w:left="260" w:right="560"/>
        <w:spacing w:after="0"/>
        <w:rPr>
          <w:rFonts w:ascii="Arial" w:cs="Arial" w:eastAsia="Arial" w:hAnsi="Arial"/>
          <w:sz w:val="18"/>
          <w:szCs w:val="18"/>
          <w:b w:val="1"/>
          <w:bCs w:val="1"/>
          <w:color w:val="auto"/>
        </w:rPr>
      </w:pPr>
      <w:r>
        <w:rPr>
          <w:rFonts w:ascii="Arial" w:cs="Arial" w:eastAsia="Arial" w:hAnsi="Arial"/>
          <w:sz w:val="18"/>
          <w:szCs w:val="18"/>
          <w:color w:val="auto"/>
        </w:rPr>
        <w:t>Assets of the Master Trust that are measured at fair value on a recurring basis as of December 31, 2025 and 2024 are summarized below:</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540" w:type="dxa"/>
            <w:vAlign w:val="bottom"/>
            <w:gridSpan w:val="3"/>
          </w:tcPr>
          <w:p>
            <w:pPr>
              <w:jc w:val="center"/>
              <w:ind w:right="30"/>
              <w:spacing w:after="0"/>
              <w:rPr>
                <w:sz w:val="20"/>
                <w:szCs w:val="20"/>
                <w:color w:val="auto"/>
              </w:rPr>
            </w:pPr>
            <w:r>
              <w:rPr>
                <w:rFonts w:ascii="Arial" w:cs="Arial" w:eastAsia="Arial" w:hAnsi="Arial"/>
                <w:sz w:val="18"/>
                <w:szCs w:val="18"/>
                <w:color w:val="auto"/>
                <w:w w:val="99"/>
              </w:rPr>
              <w:t>Fair Value Measurements</w:t>
            </w: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35"/>
        </w:trPr>
        <w:tc>
          <w:tcPr>
            <w:tcW w:w="42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gridSpan w:val="3"/>
          </w:tcPr>
          <w:p>
            <w:pPr>
              <w:jc w:val="center"/>
              <w:ind w:right="30"/>
              <w:spacing w:after="0"/>
              <w:rPr>
                <w:sz w:val="20"/>
                <w:szCs w:val="20"/>
                <w:color w:val="auto"/>
              </w:rPr>
            </w:pPr>
            <w:r>
              <w:rPr>
                <w:rFonts w:ascii="Arial" w:cs="Arial" w:eastAsia="Arial" w:hAnsi="Arial"/>
                <w:sz w:val="18"/>
                <w:szCs w:val="18"/>
                <w:color w:val="auto"/>
                <w:w w:val="99"/>
              </w:rPr>
              <w:t>at December 31, 2025</w:t>
            </w:r>
          </w:p>
        </w:tc>
        <w:tc>
          <w:tcPr>
            <w:tcW w:w="3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r>
      <w:tr>
        <w:trPr>
          <w:trHeight w:val="223"/>
        </w:trPr>
        <w:tc>
          <w:tcPr>
            <w:tcW w:w="42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gridSpan w:val="2"/>
          </w:tcPr>
          <w:p>
            <w:pPr>
              <w:ind w:left="300"/>
              <w:spacing w:after="0"/>
              <w:rPr>
                <w:sz w:val="20"/>
                <w:szCs w:val="20"/>
                <w:color w:val="auto"/>
              </w:rPr>
            </w:pPr>
            <w:r>
              <w:rPr>
                <w:rFonts w:ascii="Arial" w:cs="Arial" w:eastAsia="Arial" w:hAnsi="Arial"/>
                <w:sz w:val="18"/>
                <w:szCs w:val="18"/>
                <w:color w:val="auto"/>
              </w:rPr>
              <w:t>Level 1</w:t>
            </w: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2"/>
          </w:tcPr>
          <w:p>
            <w:pPr>
              <w:ind w:left="240"/>
              <w:spacing w:after="0"/>
              <w:rPr>
                <w:sz w:val="20"/>
                <w:szCs w:val="20"/>
                <w:color w:val="auto"/>
              </w:rPr>
            </w:pPr>
            <w:r>
              <w:rPr>
                <w:rFonts w:ascii="Arial" w:cs="Arial" w:eastAsia="Arial" w:hAnsi="Arial"/>
                <w:sz w:val="18"/>
                <w:szCs w:val="18"/>
                <w:color w:val="auto"/>
              </w:rPr>
              <w:t>Level 2</w:t>
            </w: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Level 3</w:t>
            </w:r>
          </w:p>
        </w:tc>
        <w:tc>
          <w:tcPr>
            <w:tcW w:w="3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rPr>
              <w:t>Total</w:t>
            </w:r>
          </w:p>
        </w:tc>
      </w:tr>
      <w:tr>
        <w:trPr>
          <w:trHeight w:val="223"/>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Mutual funds</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75,155,264</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030"/>
              <w:spacing w:after="0"/>
              <w:rPr>
                <w:sz w:val="20"/>
                <w:szCs w:val="20"/>
                <w:color w:val="auto"/>
              </w:rPr>
            </w:pPr>
            <w:r>
              <w:rPr>
                <w:rFonts w:ascii="Arial" w:cs="Arial" w:eastAsia="Arial" w:hAnsi="Arial"/>
                <w:sz w:val="18"/>
                <w:szCs w:val="18"/>
                <w:color w:val="auto"/>
                <w:w w:val="79"/>
              </w:rPr>
              <w:t>$</w:t>
            </w:r>
          </w:p>
        </w:tc>
        <w:tc>
          <w:tcPr>
            <w:tcW w:w="4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75,155,264</w:t>
            </w:r>
          </w:p>
        </w:tc>
      </w:tr>
      <w:tr>
        <w:trPr>
          <w:trHeight w:val="229"/>
        </w:trPr>
        <w:tc>
          <w:tcPr>
            <w:tcW w:w="4200" w:type="dxa"/>
            <w:vAlign w:val="bottom"/>
          </w:tcPr>
          <w:p>
            <w:pPr>
              <w:ind w:left="20"/>
              <w:spacing w:after="0"/>
              <w:rPr>
                <w:sz w:val="20"/>
                <w:szCs w:val="20"/>
                <w:color w:val="auto"/>
              </w:rPr>
            </w:pPr>
            <w:r>
              <w:rPr>
                <w:rFonts w:ascii="Arial" w:cs="Arial" w:eastAsia="Arial" w:hAnsi="Arial"/>
                <w:sz w:val="18"/>
                <w:szCs w:val="18"/>
                <w:color w:val="auto"/>
              </w:rPr>
              <w:t>Company common stock</w:t>
            </w:r>
          </w:p>
        </w:tc>
        <w:tc>
          <w:tcPr>
            <w:tcW w:w="4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19,688,733</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20" w:type="dxa"/>
            <w:vAlign w:val="bottom"/>
          </w:tcPr>
          <w:p>
            <w:pPr>
              <w:spacing w:after="0"/>
              <w:rPr>
                <w:sz w:val="19"/>
                <w:szCs w:val="19"/>
                <w:color w:val="auto"/>
              </w:rPr>
            </w:pPr>
          </w:p>
        </w:tc>
        <w:tc>
          <w:tcPr>
            <w:tcW w:w="4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19,688,733</w:t>
            </w:r>
          </w:p>
        </w:tc>
      </w:tr>
      <w:tr>
        <w:trPr>
          <w:trHeight w:val="230"/>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Collective Trusts</w:t>
            </w:r>
          </w:p>
        </w:tc>
        <w:tc>
          <w:tcPr>
            <w:tcW w:w="42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117,658,866</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4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117,658,866</w:t>
            </w:r>
          </w:p>
        </w:tc>
      </w:tr>
      <w:tr>
        <w:trPr>
          <w:trHeight w:val="229"/>
        </w:trPr>
        <w:tc>
          <w:tcPr>
            <w:tcW w:w="4200" w:type="dxa"/>
            <w:vAlign w:val="bottom"/>
          </w:tcPr>
          <w:p>
            <w:pPr>
              <w:ind w:left="20"/>
              <w:spacing w:after="0"/>
              <w:rPr>
                <w:sz w:val="20"/>
                <w:szCs w:val="20"/>
                <w:color w:val="auto"/>
              </w:rPr>
            </w:pPr>
            <w:r>
              <w:rPr>
                <w:rFonts w:ascii="Arial" w:cs="Arial" w:eastAsia="Arial" w:hAnsi="Arial"/>
                <w:sz w:val="18"/>
                <w:szCs w:val="18"/>
                <w:color w:val="auto"/>
              </w:rPr>
              <w:t>Money market mutual funds</w:t>
            </w:r>
          </w:p>
        </w:tc>
        <w:tc>
          <w:tcPr>
            <w:tcW w:w="420" w:type="dxa"/>
            <w:vAlign w:val="bottom"/>
          </w:tcPr>
          <w:p>
            <w:pPr>
              <w:spacing w:after="0"/>
              <w:rPr>
                <w:sz w:val="19"/>
                <w:szCs w:val="19"/>
                <w:color w:val="auto"/>
              </w:rPr>
            </w:pPr>
          </w:p>
        </w:tc>
        <w:tc>
          <w:tcPr>
            <w:tcW w:w="1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1,305,218</w:t>
            </w: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4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1,305,218</w:t>
            </w:r>
          </w:p>
        </w:tc>
      </w:tr>
      <w:tr>
        <w:trPr>
          <w:trHeight w:val="223"/>
        </w:trPr>
        <w:tc>
          <w:tcPr>
            <w:tcW w:w="4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assets in fair value hierarchy</w:t>
            </w:r>
          </w:p>
        </w:tc>
        <w:tc>
          <w:tcPr>
            <w:tcW w:w="420" w:type="dxa"/>
            <w:vAlign w:val="bottom"/>
            <w:tcBorders>
              <w:top w:val="single" w:sz="8" w:color="auto"/>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94,843,997</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118,964,084</w:t>
            </w:r>
          </w:p>
        </w:tc>
        <w:tc>
          <w:tcPr>
            <w:tcW w:w="10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213,808,081</w:t>
            </w:r>
          </w:p>
        </w:tc>
      </w:tr>
      <w:tr>
        <w:trPr>
          <w:trHeight w:val="229"/>
        </w:trPr>
        <w:tc>
          <w:tcPr>
            <w:tcW w:w="4200" w:type="dxa"/>
            <w:vAlign w:val="bottom"/>
          </w:tcPr>
          <w:p>
            <w:pPr>
              <w:ind w:left="20"/>
              <w:spacing w:after="0"/>
              <w:rPr>
                <w:sz w:val="20"/>
                <w:szCs w:val="20"/>
                <w:color w:val="auto"/>
              </w:rPr>
            </w:pPr>
            <w:r>
              <w:rPr>
                <w:rFonts w:ascii="Arial" w:cs="Arial" w:eastAsia="Arial" w:hAnsi="Arial"/>
                <w:sz w:val="18"/>
                <w:szCs w:val="18"/>
                <w:color w:val="auto"/>
              </w:rPr>
              <w:t>Investments measured at net asset value (ᵃ)</w:t>
            </w:r>
          </w:p>
        </w:tc>
        <w:tc>
          <w:tcPr>
            <w:tcW w:w="420" w:type="dxa"/>
            <w:vAlign w:val="bottom"/>
          </w:tcPr>
          <w:p>
            <w:pPr>
              <w:spacing w:after="0"/>
              <w:rPr>
                <w:sz w:val="19"/>
                <w:szCs w:val="19"/>
                <w:color w:val="auto"/>
              </w:rPr>
            </w:pPr>
          </w:p>
        </w:tc>
        <w:tc>
          <w:tcPr>
            <w:tcW w:w="1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20" w:type="dxa"/>
            <w:vAlign w:val="bottom"/>
          </w:tcPr>
          <w:p>
            <w:pPr>
              <w:spacing w:after="0"/>
              <w:rPr>
                <w:sz w:val="19"/>
                <w:szCs w:val="19"/>
                <w:color w:val="auto"/>
              </w:rPr>
            </w:pPr>
          </w:p>
        </w:tc>
        <w:tc>
          <w:tcPr>
            <w:tcW w:w="4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617,077,371</w:t>
            </w:r>
          </w:p>
        </w:tc>
      </w:tr>
      <w:tr>
        <w:trPr>
          <w:trHeight w:val="248"/>
        </w:trPr>
        <w:tc>
          <w:tcPr>
            <w:tcW w:w="4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Investments at fair value</w:t>
            </w:r>
          </w:p>
        </w:tc>
        <w:tc>
          <w:tcPr>
            <w:tcW w:w="42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94,843,997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118,964,084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auto"/>
            </w:tcBorders>
            <w:shd w:val="clear" w:color="auto" w:fill="CCEEFF"/>
          </w:tcPr>
          <w:p>
            <w:pPr>
              <w:jc w:val="right"/>
              <w:ind w:right="1030"/>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830,885,452</w:t>
            </w: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r>
        <w:trPr>
          <w:trHeight w:val="333"/>
        </w:trPr>
        <w:tc>
          <w:tcPr>
            <w:tcW w:w="4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540" w:type="dxa"/>
            <w:vAlign w:val="bottom"/>
            <w:gridSpan w:val="3"/>
          </w:tcPr>
          <w:p>
            <w:pPr>
              <w:jc w:val="center"/>
              <w:ind w:right="30"/>
              <w:spacing w:after="0"/>
              <w:rPr>
                <w:sz w:val="20"/>
                <w:szCs w:val="20"/>
                <w:color w:val="auto"/>
              </w:rPr>
            </w:pPr>
            <w:r>
              <w:rPr>
                <w:rFonts w:ascii="Arial" w:cs="Arial" w:eastAsia="Arial" w:hAnsi="Arial"/>
                <w:sz w:val="18"/>
                <w:szCs w:val="18"/>
                <w:color w:val="auto"/>
                <w:w w:val="99"/>
              </w:rPr>
              <w:t>Fair Value Measurements</w:t>
            </w: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35"/>
        </w:trPr>
        <w:tc>
          <w:tcPr>
            <w:tcW w:w="42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gridSpan w:val="3"/>
          </w:tcPr>
          <w:p>
            <w:pPr>
              <w:jc w:val="center"/>
              <w:ind w:right="30"/>
              <w:spacing w:after="0"/>
              <w:rPr>
                <w:sz w:val="20"/>
                <w:szCs w:val="20"/>
                <w:color w:val="auto"/>
              </w:rPr>
            </w:pPr>
            <w:r>
              <w:rPr>
                <w:rFonts w:ascii="Arial" w:cs="Arial" w:eastAsia="Arial" w:hAnsi="Arial"/>
                <w:sz w:val="18"/>
                <w:szCs w:val="18"/>
                <w:color w:val="auto"/>
                <w:w w:val="99"/>
              </w:rPr>
              <w:t>at December 31, 2024</w:t>
            </w:r>
          </w:p>
        </w:tc>
        <w:tc>
          <w:tcPr>
            <w:tcW w:w="3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r>
      <w:tr>
        <w:trPr>
          <w:trHeight w:val="223"/>
        </w:trPr>
        <w:tc>
          <w:tcPr>
            <w:tcW w:w="42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gridSpan w:val="2"/>
          </w:tcPr>
          <w:p>
            <w:pPr>
              <w:ind w:left="300"/>
              <w:spacing w:after="0"/>
              <w:rPr>
                <w:sz w:val="20"/>
                <w:szCs w:val="20"/>
                <w:color w:val="auto"/>
              </w:rPr>
            </w:pPr>
            <w:r>
              <w:rPr>
                <w:rFonts w:ascii="Arial" w:cs="Arial" w:eastAsia="Arial" w:hAnsi="Arial"/>
                <w:sz w:val="18"/>
                <w:szCs w:val="18"/>
                <w:color w:val="auto"/>
              </w:rPr>
              <w:t>Level 1</w:t>
            </w: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2"/>
          </w:tcPr>
          <w:p>
            <w:pPr>
              <w:ind w:left="240"/>
              <w:spacing w:after="0"/>
              <w:rPr>
                <w:sz w:val="20"/>
                <w:szCs w:val="20"/>
                <w:color w:val="auto"/>
              </w:rPr>
            </w:pPr>
            <w:r>
              <w:rPr>
                <w:rFonts w:ascii="Arial" w:cs="Arial" w:eastAsia="Arial" w:hAnsi="Arial"/>
                <w:sz w:val="18"/>
                <w:szCs w:val="18"/>
                <w:color w:val="auto"/>
              </w:rPr>
              <w:t>Level 2</w:t>
            </w: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Level 3</w:t>
            </w:r>
          </w:p>
        </w:tc>
        <w:tc>
          <w:tcPr>
            <w:tcW w:w="3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rPr>
              <w:t>Total</w:t>
            </w:r>
          </w:p>
        </w:tc>
      </w:tr>
      <w:tr>
        <w:trPr>
          <w:trHeight w:val="223"/>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Mutual funds</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228,439,096</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030"/>
              <w:spacing w:after="0"/>
              <w:rPr>
                <w:sz w:val="20"/>
                <w:szCs w:val="20"/>
                <w:color w:val="auto"/>
              </w:rPr>
            </w:pPr>
            <w:r>
              <w:rPr>
                <w:rFonts w:ascii="Arial" w:cs="Arial" w:eastAsia="Arial" w:hAnsi="Arial"/>
                <w:sz w:val="18"/>
                <w:szCs w:val="18"/>
                <w:color w:val="auto"/>
                <w:w w:val="79"/>
              </w:rPr>
              <w:t>$</w:t>
            </w:r>
          </w:p>
        </w:tc>
        <w:tc>
          <w:tcPr>
            <w:tcW w:w="4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228,439,096</w:t>
            </w:r>
          </w:p>
        </w:tc>
      </w:tr>
      <w:tr>
        <w:trPr>
          <w:trHeight w:val="229"/>
        </w:trPr>
        <w:tc>
          <w:tcPr>
            <w:tcW w:w="4200" w:type="dxa"/>
            <w:vAlign w:val="bottom"/>
          </w:tcPr>
          <w:p>
            <w:pPr>
              <w:ind w:left="20"/>
              <w:spacing w:after="0"/>
              <w:rPr>
                <w:sz w:val="20"/>
                <w:szCs w:val="20"/>
                <w:color w:val="auto"/>
              </w:rPr>
            </w:pPr>
            <w:r>
              <w:rPr>
                <w:rFonts w:ascii="Arial" w:cs="Arial" w:eastAsia="Arial" w:hAnsi="Arial"/>
                <w:sz w:val="18"/>
                <w:szCs w:val="18"/>
                <w:color w:val="auto"/>
              </w:rPr>
              <w:t>Company common stock</w:t>
            </w:r>
          </w:p>
        </w:tc>
        <w:tc>
          <w:tcPr>
            <w:tcW w:w="4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25,611,171</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20" w:type="dxa"/>
            <w:vAlign w:val="bottom"/>
          </w:tcPr>
          <w:p>
            <w:pPr>
              <w:spacing w:after="0"/>
              <w:rPr>
                <w:sz w:val="19"/>
                <w:szCs w:val="19"/>
                <w:color w:val="auto"/>
              </w:rPr>
            </w:pPr>
          </w:p>
        </w:tc>
        <w:tc>
          <w:tcPr>
            <w:tcW w:w="4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25,611,171</w:t>
            </w:r>
          </w:p>
        </w:tc>
      </w:tr>
      <w:tr>
        <w:trPr>
          <w:trHeight w:val="230"/>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Collective Trusts</w:t>
            </w:r>
          </w:p>
        </w:tc>
        <w:tc>
          <w:tcPr>
            <w:tcW w:w="42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125,599,317</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4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125,599,317</w:t>
            </w:r>
          </w:p>
        </w:tc>
      </w:tr>
      <w:tr>
        <w:trPr>
          <w:trHeight w:val="230"/>
        </w:trPr>
        <w:tc>
          <w:tcPr>
            <w:tcW w:w="4200" w:type="dxa"/>
            <w:vAlign w:val="bottom"/>
          </w:tcPr>
          <w:p>
            <w:pPr>
              <w:ind w:left="20"/>
              <w:spacing w:after="0"/>
              <w:rPr>
                <w:sz w:val="20"/>
                <w:szCs w:val="20"/>
                <w:color w:val="auto"/>
              </w:rPr>
            </w:pPr>
            <w:r>
              <w:rPr>
                <w:rFonts w:ascii="Arial" w:cs="Arial" w:eastAsia="Arial" w:hAnsi="Arial"/>
                <w:sz w:val="18"/>
                <w:szCs w:val="18"/>
                <w:color w:val="auto"/>
              </w:rPr>
              <w:t>Money market mutual funds</w:t>
            </w:r>
          </w:p>
        </w:tc>
        <w:tc>
          <w:tcPr>
            <w:tcW w:w="420" w:type="dxa"/>
            <w:vAlign w:val="bottom"/>
          </w:tcPr>
          <w:p>
            <w:pPr>
              <w:spacing w:after="0"/>
              <w:rPr>
                <w:sz w:val="19"/>
                <w:szCs w:val="19"/>
                <w:color w:val="auto"/>
              </w:rPr>
            </w:pPr>
          </w:p>
        </w:tc>
        <w:tc>
          <w:tcPr>
            <w:tcW w:w="1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407,516</w:t>
            </w: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4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407,516</w:t>
            </w:r>
          </w:p>
        </w:tc>
      </w:tr>
      <w:tr>
        <w:trPr>
          <w:trHeight w:val="223"/>
        </w:trPr>
        <w:tc>
          <w:tcPr>
            <w:tcW w:w="4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assets in fair value hierarchy</w:t>
            </w:r>
          </w:p>
        </w:tc>
        <w:tc>
          <w:tcPr>
            <w:tcW w:w="420" w:type="dxa"/>
            <w:vAlign w:val="bottom"/>
            <w:tcBorders>
              <w:top w:val="single" w:sz="8" w:color="auto"/>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254,050,267</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126,006,833</w:t>
            </w:r>
          </w:p>
        </w:tc>
        <w:tc>
          <w:tcPr>
            <w:tcW w:w="10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380,057,100</w:t>
            </w:r>
          </w:p>
        </w:tc>
      </w:tr>
      <w:tr>
        <w:trPr>
          <w:trHeight w:val="230"/>
        </w:trPr>
        <w:tc>
          <w:tcPr>
            <w:tcW w:w="4200" w:type="dxa"/>
            <w:vAlign w:val="bottom"/>
          </w:tcPr>
          <w:p>
            <w:pPr>
              <w:ind w:left="20"/>
              <w:spacing w:after="0"/>
              <w:rPr>
                <w:sz w:val="20"/>
                <w:szCs w:val="20"/>
                <w:color w:val="auto"/>
              </w:rPr>
            </w:pPr>
            <w:r>
              <w:rPr>
                <w:rFonts w:ascii="Arial" w:cs="Arial" w:eastAsia="Arial" w:hAnsi="Arial"/>
                <w:sz w:val="18"/>
                <w:szCs w:val="18"/>
                <w:color w:val="auto"/>
              </w:rPr>
              <w:t>Investments measured at net asset value (ᵃ)</w:t>
            </w:r>
          </w:p>
        </w:tc>
        <w:tc>
          <w:tcPr>
            <w:tcW w:w="420" w:type="dxa"/>
            <w:vAlign w:val="bottom"/>
          </w:tcPr>
          <w:p>
            <w:pPr>
              <w:spacing w:after="0"/>
              <w:rPr>
                <w:sz w:val="19"/>
                <w:szCs w:val="19"/>
                <w:color w:val="auto"/>
              </w:rPr>
            </w:pPr>
          </w:p>
        </w:tc>
        <w:tc>
          <w:tcPr>
            <w:tcW w:w="1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20" w:type="dxa"/>
            <w:vAlign w:val="bottom"/>
          </w:tcPr>
          <w:p>
            <w:pPr>
              <w:spacing w:after="0"/>
              <w:rPr>
                <w:sz w:val="19"/>
                <w:szCs w:val="19"/>
                <w:color w:val="auto"/>
              </w:rPr>
            </w:pPr>
          </w:p>
        </w:tc>
        <w:tc>
          <w:tcPr>
            <w:tcW w:w="4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386,454,307</w:t>
            </w:r>
          </w:p>
        </w:tc>
      </w:tr>
      <w:tr>
        <w:trPr>
          <w:trHeight w:val="248"/>
        </w:trPr>
        <w:tc>
          <w:tcPr>
            <w:tcW w:w="4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Investments at fair value</w:t>
            </w:r>
          </w:p>
        </w:tc>
        <w:tc>
          <w:tcPr>
            <w:tcW w:w="42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254,050,267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126,006,833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auto"/>
            </w:tcBorders>
            <w:shd w:val="clear" w:color="auto" w:fill="CCEEFF"/>
          </w:tcPr>
          <w:p>
            <w:pPr>
              <w:jc w:val="right"/>
              <w:ind w:right="1030"/>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766,511,407</w:t>
            </w: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ind w:left="340" w:right="2580" w:hanging="8"/>
        <w:spacing w:after="0" w:line="226" w:lineRule="auto"/>
        <w:tabs>
          <w:tab w:leader="none" w:pos="610" w:val="left"/>
        </w:tabs>
        <w:numPr>
          <w:ilvl w:val="0"/>
          <w:numId w:val="8"/>
        </w:numPr>
        <w:rPr>
          <w:rFonts w:ascii="Arial" w:cs="Arial" w:eastAsia="Arial" w:hAnsi="Arial"/>
          <w:sz w:val="17"/>
          <w:szCs w:val="17"/>
          <w:color w:val="auto"/>
        </w:rPr>
      </w:pPr>
      <w:r>
        <w:rPr>
          <w:rFonts w:ascii="Arial" w:cs="Arial" w:eastAsia="Arial" w:hAnsi="Arial"/>
          <w:sz w:val="17"/>
          <w:szCs w:val="17"/>
          <w:color w:val="auto"/>
        </w:rPr>
        <w:t>Certain Investments that were measured at net asset value per share (or its equivalent) as a practical expedient have not been classified in the fair value hierarchy. The fair value amounts presented in</w:t>
      </w:r>
    </w:p>
    <w:p>
      <w:pPr>
        <w:ind w:left="340" w:right="2800"/>
        <w:spacing w:after="0" w:line="237" w:lineRule="auto"/>
        <w:rPr>
          <w:rFonts w:ascii="Arial" w:cs="Arial" w:eastAsia="Arial" w:hAnsi="Arial"/>
          <w:sz w:val="17"/>
          <w:szCs w:val="17"/>
          <w:color w:val="auto"/>
        </w:rPr>
      </w:pPr>
      <w:r>
        <w:rPr>
          <w:rFonts w:ascii="Arial" w:cs="Arial" w:eastAsia="Arial" w:hAnsi="Arial"/>
          <w:sz w:val="18"/>
          <w:szCs w:val="18"/>
          <w:color w:val="auto"/>
        </w:rPr>
        <w:t>this table are intended to permit reconciliation of the fair value hierarchy to the net assets presented in the Master Trust footnote.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INGREDION INCORPORATED RETIREMENT SAVINGS PLAN</w:t>
      </w:r>
    </w:p>
    <w:p>
      <w:pPr>
        <w:jc w:val="center"/>
        <w:spacing w:after="0"/>
        <w:rPr>
          <w:sz w:val="20"/>
          <w:szCs w:val="20"/>
          <w:color w:val="auto"/>
        </w:rPr>
      </w:pPr>
      <w:r>
        <w:rPr>
          <w:rFonts w:ascii="Arial" w:cs="Arial" w:eastAsia="Arial" w:hAnsi="Arial"/>
          <w:sz w:val="18"/>
          <w:szCs w:val="18"/>
          <w:color w:val="auto"/>
        </w:rPr>
        <w:t>FOR HOURLY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Notes to the Financial Statements, continued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Party in Interest Transactions</w:t>
      </w:r>
    </w:p>
    <w:p>
      <w:pPr>
        <w:spacing w:after="0" w:line="225" w:lineRule="exact"/>
        <w:rPr>
          <w:sz w:val="20"/>
          <w:szCs w:val="20"/>
          <w:color w:val="auto"/>
        </w:rPr>
      </w:pPr>
    </w:p>
    <w:p>
      <w:pPr>
        <w:jc w:val="both"/>
        <w:ind w:left="340"/>
        <w:spacing w:after="0" w:line="215" w:lineRule="auto"/>
        <w:rPr>
          <w:sz w:val="20"/>
          <w:szCs w:val="20"/>
          <w:color w:val="auto"/>
        </w:rPr>
      </w:pPr>
      <w:r>
        <w:rPr>
          <w:rFonts w:ascii="Arial" w:cs="Arial" w:eastAsia="Arial" w:hAnsi="Arial"/>
          <w:sz w:val="18"/>
          <w:szCs w:val="18"/>
          <w:color w:val="auto"/>
        </w:rPr>
        <w:t>Parties in interest are defined under Department of Labor regulations as any fiduciary of the Plan, any party rendering services to the Plan, the Company, and certain others. The Plan allows participants to invest their account balances in shares of certain mutual funds or other investments managed by the Trustee or Fidelity Investments. Fidelity Investments is an affiliate of the Trustee; therefore, these</w:t>
      </w:r>
    </w:p>
    <w:p>
      <w:pPr>
        <w:spacing w:after="0" w:line="2" w:lineRule="exact"/>
        <w:rPr>
          <w:sz w:val="20"/>
          <w:szCs w:val="20"/>
          <w:color w:val="auto"/>
        </w:rPr>
      </w:pPr>
    </w:p>
    <w:p>
      <w:pPr>
        <w:jc w:val="both"/>
        <w:ind w:left="340"/>
        <w:spacing w:after="0" w:line="221" w:lineRule="auto"/>
        <w:rPr>
          <w:sz w:val="20"/>
          <w:szCs w:val="20"/>
          <w:color w:val="auto"/>
        </w:rPr>
      </w:pPr>
      <w:r>
        <w:rPr>
          <w:rFonts w:ascii="Arial" w:cs="Arial" w:eastAsia="Arial" w:hAnsi="Arial"/>
          <w:sz w:val="17"/>
          <w:szCs w:val="17"/>
          <w:color w:val="auto"/>
        </w:rPr>
        <w:t>transactions qualify as party-in-interest transactions. For the year ended December 31, 2025, fees were paid by the Plan to an affiliate of the Trustee. Investment management fees are paid by the Plan to investment managers which are parties in interest and these expenses are reflected in the financial statements as a reduction of the return on the Plan’s investments. The Plan also allows participants to take</w:t>
      </w:r>
    </w:p>
    <w:p>
      <w:pPr>
        <w:jc w:val="both"/>
        <w:ind w:left="340"/>
        <w:spacing w:after="0" w:line="229" w:lineRule="auto"/>
        <w:rPr>
          <w:sz w:val="20"/>
          <w:szCs w:val="20"/>
          <w:color w:val="auto"/>
        </w:rPr>
      </w:pPr>
      <w:r>
        <w:rPr>
          <w:rFonts w:ascii="Arial" w:cs="Arial" w:eastAsia="Arial" w:hAnsi="Arial"/>
          <w:sz w:val="18"/>
          <w:szCs w:val="18"/>
          <w:color w:val="auto"/>
        </w:rPr>
        <w:t>loans from their accounts in the Plan. These transactions also qualify as party-in-interest transactions and totaled $4,232,137 and $4,424,312 at December 31, 2025 and 2024, respectively.</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Master Trust had $19,688,733 and $25,611,171 at December 31, 2025 and 2024, respectively, in Ingredion Common Stock, which is</w:t>
      </w:r>
    </w:p>
    <w:p>
      <w:pPr>
        <w:spacing w:after="0" w:line="12" w:lineRule="exact"/>
        <w:rPr>
          <w:sz w:val="20"/>
          <w:szCs w:val="20"/>
          <w:color w:val="auto"/>
        </w:rPr>
      </w:pPr>
    </w:p>
    <w:p>
      <w:pPr>
        <w:jc w:val="both"/>
        <w:ind w:left="340"/>
        <w:spacing w:after="0" w:line="208" w:lineRule="auto"/>
        <w:rPr>
          <w:sz w:val="20"/>
          <w:szCs w:val="20"/>
          <w:color w:val="auto"/>
        </w:rPr>
      </w:pPr>
      <w:r>
        <w:rPr>
          <w:rFonts w:ascii="Arial" w:cs="Arial" w:eastAsia="Arial" w:hAnsi="Arial"/>
          <w:sz w:val="18"/>
          <w:szCs w:val="18"/>
          <w:color w:val="auto"/>
        </w:rPr>
        <w:t>exempt from the party-in-interest transaction prohibitions of ERISA. The Master Trust had 178,566 and 186,182 shares of Ingredion Common Stock at December 31, 2025 and 2024, respectively. The Master Trust earned $590,736 dividend income from Ingredion Common Stock during the year ended December 31, 2025. These transactions are considered party-in-interest transactions and also</w:t>
      </w:r>
    </w:p>
    <w:p>
      <w:pPr>
        <w:spacing w:after="0" w:line="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qualify as related party transactions as defined by GAAP.</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Tax Status</w:t>
      </w:r>
    </w:p>
    <w:p>
      <w:pPr>
        <w:spacing w:after="0" w:line="21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IRS has determined and informed the Plan by a letter dated March 4, 2014, that the Plan and related trust were designed in</w:t>
      </w:r>
    </w:p>
    <w:p>
      <w:pPr>
        <w:jc w:val="both"/>
        <w:ind w:left="340"/>
        <w:spacing w:after="0" w:line="208" w:lineRule="auto"/>
        <w:rPr>
          <w:sz w:val="20"/>
          <w:szCs w:val="20"/>
          <w:color w:val="auto"/>
        </w:rPr>
      </w:pPr>
      <w:r>
        <w:rPr>
          <w:rFonts w:ascii="Arial" w:cs="Arial" w:eastAsia="Arial" w:hAnsi="Arial"/>
          <w:sz w:val="18"/>
          <w:szCs w:val="18"/>
          <w:color w:val="auto"/>
        </w:rPr>
        <w:t>accordance with the applicable sections of the Internal Revenue Code (IRC). Although the Plan has been amended and restated since receiving the determination letter, the Plan administrator believes that the Plan is designed, and is currently being operated, in compliance with the applicable requirements of the IRC and, therefore, believes that the Plan is qualified, and the related trust is tax-</w:t>
      </w:r>
    </w:p>
    <w:p>
      <w:pPr>
        <w:spacing w:after="0" w:line="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exempt.</w:t>
      </w:r>
    </w:p>
    <w:p>
      <w:pPr>
        <w:spacing w:after="0" w:line="194" w:lineRule="exact"/>
        <w:rPr>
          <w:sz w:val="20"/>
          <w:szCs w:val="20"/>
          <w:color w:val="auto"/>
        </w:rPr>
      </w:pPr>
    </w:p>
    <w:p>
      <w:pPr>
        <w:jc w:val="both"/>
        <w:ind w:left="340"/>
        <w:spacing w:after="0" w:line="221" w:lineRule="auto"/>
        <w:rPr>
          <w:sz w:val="20"/>
          <w:szCs w:val="20"/>
          <w:color w:val="auto"/>
        </w:rPr>
      </w:pPr>
      <w:r>
        <w:rPr>
          <w:rFonts w:ascii="Arial" w:cs="Arial" w:eastAsia="Arial" w:hAnsi="Arial"/>
          <w:sz w:val="18"/>
          <w:szCs w:val="18"/>
          <w:color w:val="auto"/>
        </w:rPr>
        <w:t>GAAP requires plan management to evaluate tax positions taken by the Plan and recognize a tax liability (or asset) if the Plan has taken an uncertain position that more likely than not would not be sustained upon examination by the IRS. The Plan administrator has analyzed</w:t>
      </w:r>
    </w:p>
    <w:p>
      <w:pPr>
        <w:spacing w:after="0" w:line="1" w:lineRule="exact"/>
        <w:rPr>
          <w:sz w:val="20"/>
          <w:szCs w:val="20"/>
          <w:color w:val="auto"/>
        </w:rPr>
      </w:pPr>
    </w:p>
    <w:p>
      <w:pPr>
        <w:jc w:val="both"/>
        <w:ind w:left="340"/>
        <w:spacing w:after="0" w:line="208" w:lineRule="auto"/>
        <w:rPr>
          <w:sz w:val="20"/>
          <w:szCs w:val="20"/>
          <w:color w:val="auto"/>
        </w:rPr>
      </w:pPr>
      <w:r>
        <w:rPr>
          <w:rFonts w:ascii="Arial" w:cs="Arial" w:eastAsia="Arial" w:hAnsi="Arial"/>
          <w:sz w:val="18"/>
          <w:szCs w:val="18"/>
          <w:color w:val="auto"/>
        </w:rPr>
        <w:t>the tax positions taken by the Plan, and has concluded that as of December 31, 2025 and 2024, there are no uncertain tax positions taken or expected to be taken that would require recognition of a liability (or asset) or disclosure in the financial statements. The Plan is subject to routine audits by taxing jurisdictions; however, there are currently no audits for any tax periods in progress. The Plan</w:t>
      </w:r>
    </w:p>
    <w:p>
      <w:pPr>
        <w:spacing w:after="0" w:line="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administrator believes it is no longer subject to income tax examinations for years prior to 2022.</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Rights Upon Plan Termination</w:t>
      </w:r>
    </w:p>
    <w:p>
      <w:pPr>
        <w:spacing w:after="0" w:line="21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Although it has not expressed any intent to do so, the Company has the right under the Plan to discontinue its contributions at any time</w:t>
      </w:r>
    </w:p>
    <w:p>
      <w:pPr>
        <w:jc w:val="both"/>
        <w:ind w:left="340" w:right="20"/>
        <w:spacing w:after="0" w:line="229" w:lineRule="auto"/>
        <w:rPr>
          <w:sz w:val="20"/>
          <w:szCs w:val="20"/>
          <w:color w:val="auto"/>
        </w:rPr>
      </w:pPr>
      <w:r>
        <w:rPr>
          <w:rFonts w:ascii="Arial" w:cs="Arial" w:eastAsia="Arial" w:hAnsi="Arial"/>
          <w:sz w:val="18"/>
          <w:szCs w:val="18"/>
          <w:color w:val="auto"/>
        </w:rPr>
        <w:t xml:space="preserve">and to terminate the Plan subject to the provisions of ERISA. In the event of Plan termination, participants would become </w:t>
      </w:r>
      <w:r>
        <w:rPr>
          <w:rFonts w:ascii="Times New Roman" w:cs="Times New Roman" w:eastAsia="Times New Roman" w:hAnsi="Times New Roman"/>
          <w:sz w:val="18"/>
          <w:szCs w:val="18"/>
          <w:color w:val="auto"/>
        </w:rPr>
        <w:t>100%</w:t>
      </w:r>
      <w:r>
        <w:rPr>
          <w:rFonts w:ascii="Arial" w:cs="Arial" w:eastAsia="Arial" w:hAnsi="Arial"/>
          <w:sz w:val="18"/>
          <w:szCs w:val="18"/>
          <w:color w:val="auto"/>
        </w:rPr>
        <w:t xml:space="preserve"> vested in their employer contributions and earnings thereon.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Transfer of Assets</w:t>
      </w:r>
    </w:p>
    <w:p>
      <w:pPr>
        <w:spacing w:after="0" w:line="225" w:lineRule="exact"/>
        <w:rPr>
          <w:sz w:val="20"/>
          <w:szCs w:val="20"/>
          <w:color w:val="auto"/>
        </w:rPr>
      </w:pPr>
    </w:p>
    <w:p>
      <w:pPr>
        <w:jc w:val="both"/>
        <w:ind w:left="340"/>
        <w:spacing w:after="0" w:line="227" w:lineRule="auto"/>
        <w:rPr>
          <w:sz w:val="20"/>
          <w:szCs w:val="20"/>
          <w:color w:val="auto"/>
        </w:rPr>
      </w:pPr>
      <w:r>
        <w:rPr>
          <w:rFonts w:ascii="Arial" w:cs="Arial" w:eastAsia="Arial" w:hAnsi="Arial"/>
          <w:sz w:val="18"/>
          <w:szCs w:val="18"/>
          <w:color w:val="auto"/>
        </w:rPr>
        <w:t>Throughout the year, employees may transfer to various positions within the Company. This may result in a transfer to or from the Plan to another plan sponsored by the Company. This is shown as a transfer to or from the Plan on the Statement of Changes in Net Assets Available for Benefits.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SUPPLEMENTAL SCHEDULES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210820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INGREDION INCORPORATED RETIREMENT SAVINGS PLAN</w:t>
      </w:r>
    </w:p>
    <w:p>
      <w:pPr>
        <w:jc w:val="center"/>
        <w:spacing w:after="0"/>
        <w:rPr>
          <w:sz w:val="20"/>
          <w:szCs w:val="20"/>
          <w:color w:val="auto"/>
        </w:rPr>
      </w:pPr>
      <w:r>
        <w:rPr>
          <w:rFonts w:ascii="Arial" w:cs="Arial" w:eastAsia="Arial" w:hAnsi="Arial"/>
          <w:sz w:val="18"/>
          <w:szCs w:val="18"/>
          <w:color w:val="auto"/>
        </w:rPr>
        <w:t>FOR HOURLY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648970</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right="4560"/>
        <w:spacing w:after="0" w:line="256" w:lineRule="auto"/>
        <w:rPr>
          <w:sz w:val="20"/>
          <w:szCs w:val="20"/>
          <w:color w:val="auto"/>
        </w:rPr>
      </w:pPr>
      <w:r>
        <w:rPr>
          <w:rFonts w:ascii="Arial" w:cs="Arial" w:eastAsia="Arial" w:hAnsi="Arial"/>
          <w:sz w:val="20"/>
          <w:szCs w:val="20"/>
          <w:b w:val="1"/>
          <w:bCs w:val="1"/>
          <w:color w:val="auto"/>
        </w:rPr>
        <w:t>Schedule H, Line 4a - Schedule of Delinquent Participant Contributions Year ended December 31, 2025</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2140" w:type="dxa"/>
            <w:vAlign w:val="bottom"/>
          </w:tcPr>
          <w:p>
            <w:pPr>
              <w:ind w:left="20"/>
              <w:spacing w:after="0"/>
              <w:rPr>
                <w:sz w:val="20"/>
                <w:szCs w:val="20"/>
                <w:color w:val="auto"/>
              </w:rPr>
            </w:pPr>
            <w:r>
              <w:rPr>
                <w:rFonts w:ascii="Arial" w:cs="Arial" w:eastAsia="Arial" w:hAnsi="Arial"/>
                <w:sz w:val="18"/>
                <w:szCs w:val="18"/>
                <w:color w:val="auto"/>
              </w:rPr>
              <w:t>Name of Plan Sponsor:</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400" w:type="dxa"/>
            <w:vAlign w:val="bottom"/>
            <w:gridSpan w:val="4"/>
          </w:tcPr>
          <w:p>
            <w:pPr>
              <w:ind w:left="360"/>
              <w:spacing w:after="0"/>
              <w:rPr>
                <w:sz w:val="20"/>
                <w:szCs w:val="20"/>
                <w:color w:val="auto"/>
              </w:rPr>
            </w:pPr>
            <w:r>
              <w:rPr>
                <w:rFonts w:ascii="Arial" w:cs="Arial" w:eastAsia="Arial" w:hAnsi="Arial"/>
                <w:sz w:val="18"/>
                <w:szCs w:val="18"/>
                <w:color w:val="auto"/>
              </w:rPr>
              <w:t>Ingredion Incorporated</w:t>
            </w:r>
          </w:p>
        </w:tc>
        <w:tc>
          <w:tcPr>
            <w:tcW w:w="38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600" w:type="dxa"/>
            <w:vAlign w:val="bottom"/>
            <w:gridSpan w:val="3"/>
          </w:tcPr>
          <w:p>
            <w:pPr>
              <w:ind w:left="20"/>
              <w:spacing w:after="0"/>
              <w:rPr>
                <w:sz w:val="20"/>
                <w:szCs w:val="20"/>
                <w:color w:val="auto"/>
              </w:rPr>
            </w:pPr>
            <w:r>
              <w:rPr>
                <w:rFonts w:ascii="Arial" w:cs="Arial" w:eastAsia="Arial" w:hAnsi="Arial"/>
                <w:sz w:val="18"/>
                <w:szCs w:val="18"/>
                <w:color w:val="auto"/>
              </w:rPr>
              <w:t>Employer identification number:</w:t>
            </w:r>
          </w:p>
        </w:tc>
        <w:tc>
          <w:tcPr>
            <w:tcW w:w="720" w:type="dxa"/>
            <w:vAlign w:val="bottom"/>
          </w:tcPr>
          <w:p>
            <w:pPr>
              <w:spacing w:after="0"/>
              <w:rPr>
                <w:sz w:val="19"/>
                <w:szCs w:val="19"/>
                <w:color w:val="auto"/>
              </w:rPr>
            </w:pPr>
          </w:p>
        </w:tc>
        <w:tc>
          <w:tcPr>
            <w:tcW w:w="2500" w:type="dxa"/>
            <w:vAlign w:val="bottom"/>
            <w:tcBorders>
              <w:top w:val="single" w:sz="8" w:color="auto"/>
              <w:bottom w:val="single" w:sz="8" w:color="auto"/>
            </w:tcBorders>
            <w:gridSpan w:val="3"/>
          </w:tcPr>
          <w:p>
            <w:pPr>
              <w:jc w:val="right"/>
              <w:ind w:right="670"/>
              <w:spacing w:after="0"/>
              <w:rPr>
                <w:sz w:val="20"/>
                <w:szCs w:val="20"/>
                <w:color w:val="auto"/>
              </w:rPr>
            </w:pPr>
            <w:r>
              <w:rPr>
                <w:rFonts w:ascii="Arial" w:cs="Arial" w:eastAsia="Arial" w:hAnsi="Arial"/>
                <w:sz w:val="18"/>
                <w:szCs w:val="18"/>
                <w:color w:val="auto"/>
              </w:rPr>
              <w:t>22-3514823</w:t>
            </w:r>
          </w:p>
        </w:tc>
        <w:tc>
          <w:tcPr>
            <w:tcW w:w="9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140" w:type="dxa"/>
            <w:vAlign w:val="bottom"/>
          </w:tcPr>
          <w:p>
            <w:pPr>
              <w:jc w:val="center"/>
              <w:ind w:right="50"/>
              <w:spacing w:after="0"/>
              <w:rPr>
                <w:sz w:val="20"/>
                <w:szCs w:val="20"/>
                <w:color w:val="auto"/>
              </w:rPr>
            </w:pPr>
            <w:r>
              <w:rPr>
                <w:rFonts w:ascii="Arial" w:cs="Arial" w:eastAsia="Arial" w:hAnsi="Arial"/>
                <w:sz w:val="18"/>
                <w:szCs w:val="18"/>
                <w:color w:val="auto"/>
                <w:w w:val="99"/>
              </w:rPr>
              <w:t>Three-digit plan number:</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004</w:t>
            </w:r>
          </w:p>
        </w:tc>
        <w:tc>
          <w:tcPr>
            <w:tcW w:w="1020" w:type="dxa"/>
            <w:vAlign w:val="bottom"/>
            <w:tcBorders>
              <w:bottom w:val="single" w:sz="8" w:color="auto"/>
            </w:tcBorders>
          </w:tcPr>
          <w:p>
            <w:pPr>
              <w:spacing w:after="0"/>
              <w:rPr>
                <w:sz w:val="19"/>
                <w:szCs w:val="19"/>
                <w:color w:val="auto"/>
              </w:rPr>
            </w:pPr>
          </w:p>
        </w:tc>
        <w:tc>
          <w:tcPr>
            <w:tcW w:w="9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88"/>
        </w:trPr>
        <w:tc>
          <w:tcPr>
            <w:tcW w:w="2140" w:type="dxa"/>
            <w:vAlign w:val="bottom"/>
            <w:vMerge w:val="restart"/>
          </w:tcPr>
          <w:p>
            <w:pPr>
              <w:jc w:val="center"/>
              <w:ind w:right="30"/>
              <w:spacing w:after="0"/>
              <w:rPr>
                <w:sz w:val="20"/>
                <w:szCs w:val="20"/>
                <w:color w:val="auto"/>
              </w:rPr>
            </w:pPr>
            <w:r>
              <w:rPr>
                <w:rFonts w:ascii="Arial" w:cs="Arial" w:eastAsia="Arial" w:hAnsi="Arial"/>
                <w:sz w:val="18"/>
                <w:szCs w:val="18"/>
                <w:color w:val="auto"/>
                <w:w w:val="99"/>
              </w:rPr>
              <w:t>Check here if Late</w:t>
            </w:r>
          </w:p>
        </w:tc>
        <w:tc>
          <w:tcPr>
            <w:tcW w:w="2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5860" w:type="dxa"/>
            <w:vAlign w:val="bottom"/>
            <w:tcBorders>
              <w:bottom w:val="single" w:sz="8" w:color="auto"/>
            </w:tcBorders>
            <w:gridSpan w:val="6"/>
          </w:tcPr>
          <w:p>
            <w:pPr>
              <w:jc w:val="right"/>
              <w:ind w:right="1050"/>
              <w:spacing w:after="0"/>
              <w:rPr>
                <w:sz w:val="20"/>
                <w:szCs w:val="20"/>
                <w:color w:val="auto"/>
              </w:rPr>
            </w:pPr>
            <w:r>
              <w:rPr>
                <w:rFonts w:ascii="Arial" w:cs="Arial" w:eastAsia="Arial" w:hAnsi="Arial"/>
                <w:sz w:val="18"/>
                <w:szCs w:val="18"/>
                <w:color w:val="auto"/>
              </w:rPr>
              <w:t>Total that Constitute Nonexempt Prohibited Transactions</w:t>
            </w:r>
          </w:p>
        </w:tc>
        <w:tc>
          <w:tcPr>
            <w:tcW w:w="500" w:type="dxa"/>
            <w:vAlign w:val="bottom"/>
          </w:tcPr>
          <w:p>
            <w:pPr>
              <w:spacing w:after="0"/>
              <w:rPr>
                <w:sz w:val="24"/>
                <w:szCs w:val="24"/>
                <w:color w:val="auto"/>
              </w:rPr>
            </w:pPr>
          </w:p>
        </w:tc>
        <w:tc>
          <w:tcPr>
            <w:tcW w:w="1520" w:type="dxa"/>
            <w:vAlign w:val="bottom"/>
            <w:vMerge w:val="restart"/>
          </w:tcPr>
          <w:p>
            <w:pPr>
              <w:jc w:val="center"/>
              <w:spacing w:after="0"/>
              <w:rPr>
                <w:sz w:val="20"/>
                <w:szCs w:val="20"/>
                <w:color w:val="auto"/>
              </w:rPr>
            </w:pPr>
            <w:r>
              <w:rPr>
                <w:rFonts w:ascii="Arial" w:cs="Arial" w:eastAsia="Arial" w:hAnsi="Arial"/>
                <w:sz w:val="18"/>
                <w:szCs w:val="18"/>
                <w:color w:val="auto"/>
                <w:w w:val="98"/>
              </w:rPr>
              <w:t>Total Fully</w:t>
            </w:r>
          </w:p>
        </w:tc>
        <w:tc>
          <w:tcPr>
            <w:tcW w:w="0" w:type="dxa"/>
            <w:vAlign w:val="bottom"/>
          </w:tcPr>
          <w:p>
            <w:pPr>
              <w:spacing w:after="0"/>
              <w:rPr>
                <w:sz w:val="1"/>
                <w:szCs w:val="1"/>
                <w:color w:val="auto"/>
              </w:rPr>
            </w:pPr>
          </w:p>
        </w:tc>
      </w:tr>
      <w:tr>
        <w:trPr>
          <w:trHeight w:val="164"/>
        </w:trPr>
        <w:tc>
          <w:tcPr>
            <w:tcW w:w="214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920" w:type="dxa"/>
            <w:vAlign w:val="bottom"/>
            <w:gridSpan w:val="2"/>
            <w:vMerge w:val="restart"/>
          </w:tcPr>
          <w:p>
            <w:pPr>
              <w:jc w:val="center"/>
              <w:ind w:right="210"/>
              <w:spacing w:after="0"/>
              <w:rPr>
                <w:sz w:val="20"/>
                <w:szCs w:val="20"/>
                <w:color w:val="auto"/>
              </w:rPr>
            </w:pPr>
            <w:r>
              <w:rPr>
                <w:rFonts w:ascii="Arial" w:cs="Arial" w:eastAsia="Arial" w:hAnsi="Arial"/>
                <w:sz w:val="18"/>
                <w:szCs w:val="18"/>
                <w:color w:val="auto"/>
                <w:w w:val="99"/>
              </w:rPr>
              <w:t>Contributions</w:t>
            </w:r>
          </w:p>
        </w:tc>
        <w:tc>
          <w:tcPr>
            <w:tcW w:w="38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5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140" w:type="dxa"/>
            <w:vAlign w:val="bottom"/>
          </w:tcPr>
          <w:p>
            <w:pPr>
              <w:jc w:val="center"/>
              <w:ind w:right="30"/>
              <w:spacing w:after="0" w:line="181" w:lineRule="exact"/>
              <w:rPr>
                <w:sz w:val="20"/>
                <w:szCs w:val="20"/>
                <w:color w:val="auto"/>
              </w:rPr>
            </w:pPr>
            <w:r>
              <w:rPr>
                <w:rFonts w:ascii="Arial" w:cs="Arial" w:eastAsia="Arial" w:hAnsi="Arial"/>
                <w:sz w:val="18"/>
                <w:szCs w:val="18"/>
                <w:color w:val="auto"/>
                <w:w w:val="99"/>
              </w:rPr>
              <w:t>Participant Loan</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40" w:type="dxa"/>
            <w:vAlign w:val="bottom"/>
            <w:gridSpan w:val="2"/>
            <w:vMerge w:val="restart"/>
          </w:tcPr>
          <w:p>
            <w:pPr>
              <w:jc w:val="center"/>
              <w:ind w:right="170"/>
              <w:spacing w:after="0"/>
              <w:rPr>
                <w:sz w:val="20"/>
                <w:szCs w:val="20"/>
                <w:color w:val="auto"/>
              </w:rPr>
            </w:pPr>
            <w:r>
              <w:rPr>
                <w:rFonts w:ascii="Arial" w:cs="Arial" w:eastAsia="Arial" w:hAnsi="Arial"/>
                <w:sz w:val="18"/>
                <w:szCs w:val="18"/>
                <w:color w:val="auto"/>
              </w:rPr>
              <w:t>Contributions Not</w:t>
            </w:r>
          </w:p>
        </w:tc>
        <w:tc>
          <w:tcPr>
            <w:tcW w:w="460" w:type="dxa"/>
            <w:vAlign w:val="bottom"/>
          </w:tcPr>
          <w:p>
            <w:pPr>
              <w:spacing w:after="0"/>
              <w:rPr>
                <w:sz w:val="15"/>
                <w:szCs w:val="15"/>
                <w:color w:val="auto"/>
              </w:rPr>
            </w:pPr>
          </w:p>
        </w:tc>
        <w:tc>
          <w:tcPr>
            <w:tcW w:w="1920" w:type="dxa"/>
            <w:vAlign w:val="bottom"/>
            <w:gridSpan w:val="2"/>
            <w:vMerge w:val="continue"/>
          </w:tcPr>
          <w:p>
            <w:pPr>
              <w:spacing w:after="0"/>
              <w:rPr>
                <w:sz w:val="15"/>
                <w:szCs w:val="15"/>
                <w:color w:val="auto"/>
              </w:rPr>
            </w:pPr>
          </w:p>
        </w:tc>
        <w:tc>
          <w:tcPr>
            <w:tcW w:w="380" w:type="dxa"/>
            <w:vAlign w:val="bottom"/>
          </w:tcPr>
          <w:p>
            <w:pPr>
              <w:spacing w:after="0"/>
              <w:rPr>
                <w:sz w:val="15"/>
                <w:szCs w:val="15"/>
                <w:color w:val="auto"/>
              </w:rPr>
            </w:pPr>
          </w:p>
        </w:tc>
        <w:tc>
          <w:tcPr>
            <w:tcW w:w="2080" w:type="dxa"/>
            <w:vAlign w:val="bottom"/>
            <w:vMerge w:val="restart"/>
          </w:tcPr>
          <w:p>
            <w:pPr>
              <w:jc w:val="center"/>
              <w:ind w:right="10"/>
              <w:spacing w:after="0"/>
              <w:rPr>
                <w:sz w:val="20"/>
                <w:szCs w:val="20"/>
                <w:color w:val="auto"/>
              </w:rPr>
            </w:pPr>
            <w:r>
              <w:rPr>
                <w:rFonts w:ascii="Arial" w:cs="Arial" w:eastAsia="Arial" w:hAnsi="Arial"/>
                <w:sz w:val="18"/>
                <w:szCs w:val="18"/>
                <w:color w:val="auto"/>
              </w:rPr>
              <w:t>Contributions Pending</w:t>
            </w:r>
          </w:p>
        </w:tc>
        <w:tc>
          <w:tcPr>
            <w:tcW w:w="500" w:type="dxa"/>
            <w:vAlign w:val="bottom"/>
          </w:tcPr>
          <w:p>
            <w:pPr>
              <w:spacing w:after="0"/>
              <w:rPr>
                <w:sz w:val="15"/>
                <w:szCs w:val="15"/>
                <w:color w:val="auto"/>
              </w:rPr>
            </w:pPr>
          </w:p>
        </w:tc>
        <w:tc>
          <w:tcPr>
            <w:tcW w:w="1520" w:type="dxa"/>
            <w:vAlign w:val="bottom"/>
          </w:tcPr>
          <w:p>
            <w:pPr>
              <w:jc w:val="center"/>
              <w:spacing w:after="0" w:line="181" w:lineRule="exact"/>
              <w:rPr>
                <w:sz w:val="20"/>
                <w:szCs w:val="20"/>
                <w:color w:val="auto"/>
              </w:rPr>
            </w:pPr>
            <w:r>
              <w:rPr>
                <w:rFonts w:ascii="Arial" w:cs="Arial" w:eastAsia="Arial" w:hAnsi="Arial"/>
                <w:sz w:val="18"/>
                <w:szCs w:val="18"/>
                <w:color w:val="auto"/>
              </w:rPr>
              <w:t>Corrected Under</w:t>
            </w:r>
          </w:p>
        </w:tc>
        <w:tc>
          <w:tcPr>
            <w:tcW w:w="0" w:type="dxa"/>
            <w:vAlign w:val="bottom"/>
          </w:tcPr>
          <w:p>
            <w:pPr>
              <w:spacing w:after="0"/>
              <w:rPr>
                <w:sz w:val="1"/>
                <w:szCs w:val="1"/>
                <w:color w:val="auto"/>
              </w:rPr>
            </w:pPr>
          </w:p>
        </w:tc>
      </w:tr>
      <w:tr>
        <w:trPr>
          <w:trHeight w:val="175"/>
        </w:trPr>
        <w:tc>
          <w:tcPr>
            <w:tcW w:w="2140" w:type="dxa"/>
            <w:vAlign w:val="bottom"/>
          </w:tcPr>
          <w:p>
            <w:pPr>
              <w:jc w:val="center"/>
              <w:ind w:right="10"/>
              <w:spacing w:after="0" w:line="176" w:lineRule="exact"/>
              <w:rPr>
                <w:sz w:val="20"/>
                <w:szCs w:val="20"/>
                <w:color w:val="auto"/>
              </w:rPr>
            </w:pPr>
            <w:r>
              <w:rPr>
                <w:rFonts w:ascii="Arial" w:cs="Arial" w:eastAsia="Arial" w:hAnsi="Arial"/>
                <w:sz w:val="18"/>
                <w:szCs w:val="18"/>
                <w:color w:val="auto"/>
                <w:w w:val="99"/>
              </w:rPr>
              <w:t>Repayments are</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40" w:type="dxa"/>
            <w:vAlign w:val="bottom"/>
            <w:gridSpan w:val="2"/>
            <w:vMerge w:val="continue"/>
          </w:tcPr>
          <w:p>
            <w:pPr>
              <w:spacing w:after="0"/>
              <w:rPr>
                <w:sz w:val="15"/>
                <w:szCs w:val="15"/>
                <w:color w:val="auto"/>
              </w:rPr>
            </w:pPr>
          </w:p>
        </w:tc>
        <w:tc>
          <w:tcPr>
            <w:tcW w:w="460" w:type="dxa"/>
            <w:vAlign w:val="bottom"/>
          </w:tcPr>
          <w:p>
            <w:pPr>
              <w:spacing w:after="0"/>
              <w:rPr>
                <w:sz w:val="15"/>
                <w:szCs w:val="15"/>
                <w:color w:val="auto"/>
              </w:rPr>
            </w:pPr>
          </w:p>
        </w:tc>
        <w:tc>
          <w:tcPr>
            <w:tcW w:w="1920" w:type="dxa"/>
            <w:vAlign w:val="bottom"/>
            <w:gridSpan w:val="2"/>
          </w:tcPr>
          <w:p>
            <w:pPr>
              <w:jc w:val="center"/>
              <w:ind w:right="210"/>
              <w:spacing w:after="0" w:line="176" w:lineRule="exact"/>
              <w:rPr>
                <w:sz w:val="20"/>
                <w:szCs w:val="20"/>
                <w:color w:val="auto"/>
              </w:rPr>
            </w:pPr>
            <w:r>
              <w:rPr>
                <w:rFonts w:ascii="Arial" w:cs="Arial" w:eastAsia="Arial" w:hAnsi="Arial"/>
                <w:sz w:val="18"/>
                <w:szCs w:val="18"/>
                <w:color w:val="auto"/>
                <w:w w:val="99"/>
              </w:rPr>
              <w:t>Corrected Outside</w:t>
            </w:r>
          </w:p>
        </w:tc>
        <w:tc>
          <w:tcPr>
            <w:tcW w:w="380" w:type="dxa"/>
            <w:vAlign w:val="bottom"/>
          </w:tcPr>
          <w:p>
            <w:pPr>
              <w:spacing w:after="0"/>
              <w:rPr>
                <w:sz w:val="15"/>
                <w:szCs w:val="15"/>
                <w:color w:val="auto"/>
              </w:rPr>
            </w:pPr>
          </w:p>
        </w:tc>
        <w:tc>
          <w:tcPr>
            <w:tcW w:w="2080" w:type="dxa"/>
            <w:vAlign w:val="bottom"/>
            <w:vMerge w:val="continue"/>
          </w:tcPr>
          <w:p>
            <w:pPr>
              <w:spacing w:after="0"/>
              <w:rPr>
                <w:sz w:val="15"/>
                <w:szCs w:val="15"/>
                <w:color w:val="auto"/>
              </w:rPr>
            </w:pPr>
          </w:p>
        </w:tc>
        <w:tc>
          <w:tcPr>
            <w:tcW w:w="500" w:type="dxa"/>
            <w:vAlign w:val="bottom"/>
          </w:tcPr>
          <w:p>
            <w:pPr>
              <w:spacing w:after="0"/>
              <w:rPr>
                <w:sz w:val="15"/>
                <w:szCs w:val="15"/>
                <w:color w:val="auto"/>
              </w:rPr>
            </w:pPr>
          </w:p>
        </w:tc>
        <w:tc>
          <w:tcPr>
            <w:tcW w:w="1520" w:type="dxa"/>
            <w:vAlign w:val="bottom"/>
          </w:tcPr>
          <w:p>
            <w:pPr>
              <w:jc w:val="center"/>
              <w:spacing w:after="0" w:line="176" w:lineRule="exact"/>
              <w:rPr>
                <w:sz w:val="20"/>
                <w:szCs w:val="20"/>
                <w:color w:val="auto"/>
              </w:rPr>
            </w:pPr>
            <w:r>
              <w:rPr>
                <w:rFonts w:ascii="Arial" w:cs="Arial" w:eastAsia="Arial" w:hAnsi="Arial"/>
                <w:sz w:val="18"/>
                <w:szCs w:val="18"/>
                <w:color w:val="auto"/>
                <w:w w:val="99"/>
              </w:rPr>
              <w:t>VFCP and PTE</w:t>
            </w:r>
          </w:p>
        </w:tc>
        <w:tc>
          <w:tcPr>
            <w:tcW w:w="0" w:type="dxa"/>
            <w:vAlign w:val="bottom"/>
          </w:tcPr>
          <w:p>
            <w:pPr>
              <w:spacing w:after="0"/>
              <w:rPr>
                <w:sz w:val="1"/>
                <w:szCs w:val="1"/>
                <w:color w:val="auto"/>
              </w:rPr>
            </w:pPr>
          </w:p>
        </w:tc>
      </w:tr>
      <w:tr>
        <w:trPr>
          <w:trHeight w:val="230"/>
        </w:trPr>
        <w:tc>
          <w:tcPr>
            <w:tcW w:w="2140" w:type="dxa"/>
            <w:vAlign w:val="bottom"/>
          </w:tcPr>
          <w:p>
            <w:pPr>
              <w:jc w:val="center"/>
              <w:ind w:right="10"/>
              <w:spacing w:after="0"/>
              <w:rPr>
                <w:sz w:val="20"/>
                <w:szCs w:val="20"/>
                <w:color w:val="auto"/>
              </w:rPr>
            </w:pPr>
            <w:r>
              <w:rPr>
                <w:rFonts w:ascii="Arial" w:cs="Arial" w:eastAsia="Arial" w:hAnsi="Arial"/>
                <w:sz w:val="18"/>
                <w:szCs w:val="18"/>
                <w:color w:val="auto"/>
                <w:w w:val="99"/>
              </w:rPr>
              <w:t>Included</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40" w:type="dxa"/>
            <w:vAlign w:val="bottom"/>
            <w:gridSpan w:val="2"/>
          </w:tcPr>
          <w:p>
            <w:pPr>
              <w:jc w:val="center"/>
              <w:ind w:right="170"/>
              <w:spacing w:after="0"/>
              <w:rPr>
                <w:sz w:val="20"/>
                <w:szCs w:val="20"/>
                <w:color w:val="auto"/>
              </w:rPr>
            </w:pPr>
            <w:r>
              <w:rPr>
                <w:rFonts w:ascii="Arial" w:cs="Arial" w:eastAsia="Arial" w:hAnsi="Arial"/>
                <w:sz w:val="18"/>
                <w:szCs w:val="18"/>
                <w:color w:val="auto"/>
              </w:rPr>
              <w:t>Corrected</w:t>
            </w:r>
          </w:p>
        </w:tc>
        <w:tc>
          <w:tcPr>
            <w:tcW w:w="460" w:type="dxa"/>
            <w:vAlign w:val="bottom"/>
          </w:tcPr>
          <w:p>
            <w:pPr>
              <w:spacing w:after="0"/>
              <w:rPr>
                <w:sz w:val="19"/>
                <w:szCs w:val="19"/>
                <w:color w:val="auto"/>
              </w:rPr>
            </w:pPr>
          </w:p>
        </w:tc>
        <w:tc>
          <w:tcPr>
            <w:tcW w:w="1920" w:type="dxa"/>
            <w:vAlign w:val="bottom"/>
            <w:gridSpan w:val="2"/>
          </w:tcPr>
          <w:p>
            <w:pPr>
              <w:jc w:val="center"/>
              <w:ind w:right="190"/>
              <w:spacing w:after="0"/>
              <w:rPr>
                <w:sz w:val="20"/>
                <w:szCs w:val="20"/>
                <w:color w:val="auto"/>
              </w:rPr>
            </w:pPr>
            <w:r>
              <w:rPr>
                <w:rFonts w:ascii="Arial" w:cs="Arial" w:eastAsia="Arial" w:hAnsi="Arial"/>
                <w:sz w:val="18"/>
                <w:szCs w:val="18"/>
                <w:color w:val="auto"/>
                <w:w w:val="99"/>
              </w:rPr>
              <w:t>VFCP</w:t>
            </w:r>
          </w:p>
        </w:tc>
        <w:tc>
          <w:tcPr>
            <w:tcW w:w="380" w:type="dxa"/>
            <w:vAlign w:val="bottom"/>
          </w:tcPr>
          <w:p>
            <w:pPr>
              <w:spacing w:after="0"/>
              <w:rPr>
                <w:sz w:val="19"/>
                <w:szCs w:val="19"/>
                <w:color w:val="auto"/>
              </w:rPr>
            </w:pPr>
          </w:p>
        </w:tc>
        <w:tc>
          <w:tcPr>
            <w:tcW w:w="2080" w:type="dxa"/>
            <w:vAlign w:val="bottom"/>
          </w:tcPr>
          <w:p>
            <w:pPr>
              <w:jc w:val="center"/>
              <w:ind w:right="10"/>
              <w:spacing w:after="0"/>
              <w:rPr>
                <w:sz w:val="20"/>
                <w:szCs w:val="20"/>
                <w:color w:val="auto"/>
              </w:rPr>
            </w:pPr>
            <w:r>
              <w:rPr>
                <w:rFonts w:ascii="Arial" w:cs="Arial" w:eastAsia="Arial" w:hAnsi="Arial"/>
                <w:sz w:val="18"/>
                <w:szCs w:val="18"/>
                <w:color w:val="auto"/>
                <w:w w:val="99"/>
              </w:rPr>
              <w:t>Correction in VFCP</w:t>
            </w:r>
          </w:p>
        </w:tc>
        <w:tc>
          <w:tcPr>
            <w:tcW w:w="500" w:type="dxa"/>
            <w:vAlign w:val="bottom"/>
          </w:tcPr>
          <w:p>
            <w:pPr>
              <w:spacing w:after="0"/>
              <w:rPr>
                <w:sz w:val="19"/>
                <w:szCs w:val="19"/>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99"/>
              </w:rPr>
              <w:t>2002-51</w:t>
            </w:r>
          </w:p>
        </w:tc>
        <w:tc>
          <w:tcPr>
            <w:tcW w:w="0" w:type="dxa"/>
            <w:vAlign w:val="bottom"/>
          </w:tcPr>
          <w:p>
            <w:pPr>
              <w:spacing w:after="0"/>
              <w:rPr>
                <w:sz w:val="1"/>
                <w:szCs w:val="1"/>
                <w:color w:val="auto"/>
              </w:rPr>
            </w:pPr>
          </w:p>
        </w:tc>
      </w:tr>
      <w:tr>
        <w:trPr>
          <w:trHeight w:val="229"/>
        </w:trPr>
        <w:tc>
          <w:tcPr>
            <w:tcW w:w="2140" w:type="dxa"/>
            <w:vAlign w:val="bottom"/>
            <w:shd w:val="clear" w:color="auto" w:fill="CCEEFF"/>
          </w:tcPr>
          <w:p>
            <w:pPr>
              <w:jc w:val="center"/>
              <w:ind w:right="10"/>
              <w:spacing w:after="0"/>
              <w:rPr>
                <w:sz w:val="20"/>
                <w:szCs w:val="20"/>
                <w:color w:val="auto"/>
              </w:rPr>
            </w:pPr>
            <w:r>
              <w:rPr>
                <w:rFonts w:ascii="Arial" w:cs="Arial" w:eastAsia="Arial" w:hAnsi="Arial"/>
                <w:sz w:val="18"/>
                <w:szCs w:val="18"/>
                <w:color w:val="auto"/>
                <w:w w:val="99"/>
              </w:rPr>
              <w:t>X</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 859,059</w:t>
            </w:r>
          </w:p>
        </w:tc>
        <w:tc>
          <w:tcPr>
            <w:tcW w:w="4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spacing w:after="0"/>
              <w:rPr>
                <w:sz w:val="19"/>
                <w:szCs w:val="19"/>
                <w:color w:val="auto"/>
              </w:rPr>
            </w:pPr>
          </w:p>
        </w:tc>
        <w:tc>
          <w:tcPr>
            <w:tcW w:w="9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 1,056,572</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ind w:left="1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ind w:left="280" w:hanging="272"/>
        <w:spacing w:after="0"/>
        <w:tabs>
          <w:tab w:leader="none" w:pos="2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Contributions related to Plan year ended December 31, 2025</w:t>
      </w:r>
    </w:p>
    <w:p>
      <w:pPr>
        <w:ind w:left="280" w:hanging="272"/>
        <w:spacing w:after="0"/>
        <w:tabs>
          <w:tab w:leader="none" w:pos="2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Contributions related to Plan year ended December 31, 2024 corrected during 2025</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Refer to the Report of Independent Registered Public Accounting Firm</w:t>
      </w:r>
    </w:p>
    <w:p>
      <w:pPr>
        <w:jc w:val="right"/>
        <w:spacing w:after="0"/>
        <w:rPr>
          <w:sz w:val="20"/>
          <w:szCs w:val="20"/>
          <w:color w:val="auto"/>
        </w:rPr>
      </w:pPr>
      <w:r>
        <w:rPr>
          <w:rFonts w:ascii="Arial" w:cs="Arial" w:eastAsia="Arial" w:hAnsi="Arial"/>
          <w:sz w:val="18"/>
          <w:szCs w:val="18"/>
          <w:color w:val="auto"/>
        </w:rPr>
        <w:t>P.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INGREDION INCORPORATED RETIREMENT SAVINGS PLAN</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 HOURLY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241935</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Schedule H, Line 4i - Schedule of Assets (Held at End of Year)</w:t>
      </w:r>
    </w:p>
    <w:p>
      <w:pPr>
        <w:spacing w:after="0"/>
        <w:rPr>
          <w:sz w:val="20"/>
          <w:szCs w:val="20"/>
          <w:color w:val="auto"/>
        </w:rPr>
      </w:pPr>
      <w:r>
        <w:rPr>
          <w:rFonts w:ascii="Arial" w:cs="Arial" w:eastAsia="Arial" w:hAnsi="Arial"/>
          <w:sz w:val="20"/>
          <w:szCs w:val="20"/>
          <w:b w:val="1"/>
          <w:bCs w:val="1"/>
          <w:color w:val="auto"/>
        </w:rPr>
        <w:t>December 31, 2025</w:t>
      </w:r>
    </w:p>
    <w:p>
      <w:pPr>
        <w:sectPr>
          <w:pgSz w:w="11900" w:h="16838" w:orient="portrait"/>
          <w:cols w:equalWidth="0" w:num="1">
            <w:col w:w="11240"/>
          </w:cols>
          <w:pgMar w:left="320" w:top="108" w:right="339" w:bottom="1440" w:gutter="0" w:footer="0" w:header="0"/>
        </w:sectPr>
      </w:pPr>
    </w:p>
    <w:p>
      <w:pPr>
        <w:spacing w:after="0" w:line="268" w:lineRule="exact"/>
        <w:rPr>
          <w:sz w:val="20"/>
          <w:szCs w:val="20"/>
          <w:color w:val="auto"/>
        </w:rPr>
      </w:pPr>
    </w:p>
    <w:p>
      <w:pPr>
        <w:ind w:left="20"/>
        <w:spacing w:after="0"/>
        <w:rPr>
          <w:sz w:val="20"/>
          <w:szCs w:val="20"/>
          <w:color w:val="auto"/>
        </w:rPr>
      </w:pPr>
      <w:r>
        <w:rPr>
          <w:rFonts w:ascii="Arial" w:cs="Arial" w:eastAsia="Arial" w:hAnsi="Arial"/>
          <w:sz w:val="18"/>
          <w:szCs w:val="18"/>
          <w:color w:val="auto"/>
        </w:rPr>
        <w:t>Name of Plan Sponsor:</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7"/>
          <w:szCs w:val="17"/>
          <w:color w:val="auto"/>
        </w:rPr>
        <w:t>Employer identification number:</w:t>
      </w:r>
    </w:p>
    <w:p>
      <w:pPr>
        <w:spacing w:after="0" w:line="38"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Three-digit plan number:</w:t>
      </w:r>
    </w:p>
    <w:p>
      <w:pPr>
        <w:spacing w:after="0" w:line="20" w:lineRule="exact"/>
        <w:rPr>
          <w:sz w:val="20"/>
          <w:szCs w:val="20"/>
          <w:color w:val="auto"/>
        </w:rPr>
      </w:pPr>
      <w:r>
        <w:rPr>
          <w:sz w:val="20"/>
          <w:szCs w:val="20"/>
          <w:color w:val="auto"/>
        </w:rPr>
        <w:br w:type="column"/>
      </w:r>
    </w:p>
    <w:p>
      <w:pPr>
        <w:spacing w:after="0" w:line="248" w:lineRule="exact"/>
        <w:rPr>
          <w:sz w:val="20"/>
          <w:szCs w:val="20"/>
          <w:color w:val="auto"/>
        </w:rPr>
      </w:pPr>
    </w:p>
    <w:p>
      <w:pPr>
        <w:jc w:val="center"/>
        <w:ind w:right="5600"/>
        <w:spacing w:after="0"/>
        <w:rPr>
          <w:sz w:val="20"/>
          <w:szCs w:val="20"/>
          <w:color w:val="auto"/>
        </w:rPr>
      </w:pPr>
      <w:r>
        <w:rPr>
          <w:rFonts w:ascii="Arial" w:cs="Arial" w:eastAsia="Arial" w:hAnsi="Arial"/>
          <w:sz w:val="17"/>
          <w:szCs w:val="17"/>
          <w:color w:val="auto"/>
        </w:rPr>
        <w:t>Ingredion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-255270</wp:posOffset>
            </wp:positionH>
            <wp:positionV relativeFrom="paragraph">
              <wp:posOffset>24765</wp:posOffset>
            </wp:positionV>
            <wp:extent cx="165417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654175" cy="8890"/>
                    </a:xfrm>
                    <a:prstGeom prst="rect">
                      <a:avLst/>
                    </a:prstGeom>
                    <a:noFill/>
                  </pic:spPr>
                </pic:pic>
              </a:graphicData>
            </a:graphic>
          </wp:anchor>
        </w:drawing>
      </w:r>
    </w:p>
    <w:p>
      <w:pPr>
        <w:spacing w:after="0" w:line="28" w:lineRule="exact"/>
        <w:rPr>
          <w:sz w:val="20"/>
          <w:szCs w:val="20"/>
          <w:color w:val="auto"/>
        </w:rPr>
      </w:pPr>
    </w:p>
    <w:p>
      <w:pPr>
        <w:jc w:val="center"/>
        <w:ind w:right="5600"/>
        <w:spacing w:after="0"/>
        <w:rPr>
          <w:sz w:val="20"/>
          <w:szCs w:val="20"/>
          <w:color w:val="auto"/>
        </w:rPr>
      </w:pPr>
      <w:r>
        <w:rPr>
          <w:rFonts w:ascii="Arial" w:cs="Arial" w:eastAsia="Arial" w:hAnsi="Arial"/>
          <w:sz w:val="18"/>
          <w:szCs w:val="18"/>
          <w:color w:val="auto"/>
        </w:rPr>
        <w:t>22-3514823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-255270</wp:posOffset>
            </wp:positionH>
            <wp:positionV relativeFrom="paragraph">
              <wp:posOffset>17780</wp:posOffset>
            </wp:positionV>
            <wp:extent cx="165417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654175" cy="8255"/>
                    </a:xfrm>
                    <a:prstGeom prst="rect">
                      <a:avLst/>
                    </a:prstGeom>
                    <a:noFill/>
                  </pic:spPr>
                </pic:pic>
              </a:graphicData>
            </a:graphic>
          </wp:anchor>
        </w:drawing>
      </w:r>
    </w:p>
    <w:p>
      <w:pPr>
        <w:spacing w:after="0" w:line="16" w:lineRule="exact"/>
        <w:rPr>
          <w:sz w:val="20"/>
          <w:szCs w:val="20"/>
          <w:color w:val="auto"/>
        </w:rPr>
      </w:pPr>
    </w:p>
    <w:p>
      <w:pPr>
        <w:jc w:val="center"/>
        <w:ind w:right="5600"/>
        <w:spacing w:after="0"/>
        <w:rPr>
          <w:sz w:val="20"/>
          <w:szCs w:val="20"/>
          <w:color w:val="auto"/>
        </w:rPr>
      </w:pPr>
      <w:r>
        <w:rPr>
          <w:rFonts w:ascii="Arial" w:cs="Arial" w:eastAsia="Arial" w:hAnsi="Arial"/>
          <w:sz w:val="18"/>
          <w:szCs w:val="18"/>
          <w:color w:val="auto"/>
        </w:rPr>
        <w:t>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-255270</wp:posOffset>
            </wp:positionH>
            <wp:positionV relativeFrom="paragraph">
              <wp:posOffset>17780</wp:posOffset>
            </wp:positionV>
            <wp:extent cx="165417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65417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120" w:space="720"/>
            <w:col w:w="7400"/>
          </w:cols>
          <w:pgMar w:left="320" w:top="108" w:right="339" w:bottom="1440" w:gutter="0" w:footer="0" w:header="0"/>
          <w:type w:val="continuous"/>
        </w:sect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80" w:type="dxa"/>
            <w:vAlign w:val="bottom"/>
          </w:tcPr>
          <w:p>
            <w:pPr>
              <w:jc w:val="right"/>
              <w:ind w:right="250"/>
              <w:spacing w:after="0"/>
              <w:rPr>
                <w:sz w:val="20"/>
                <w:szCs w:val="20"/>
                <w:color w:val="auto"/>
              </w:rPr>
            </w:pPr>
            <w:r>
              <w:rPr>
                <w:rFonts w:ascii="Arial" w:cs="Arial" w:eastAsia="Arial" w:hAnsi="Arial"/>
                <w:sz w:val="18"/>
                <w:szCs w:val="18"/>
                <w:color w:val="auto"/>
                <w:w w:val="99"/>
              </w:rPr>
              <w:t>(a)</w:t>
            </w:r>
          </w:p>
        </w:tc>
        <w:tc>
          <w:tcPr>
            <w:tcW w:w="3960" w:type="dxa"/>
            <w:vAlign w:val="bottom"/>
            <w:gridSpan w:val="2"/>
          </w:tcPr>
          <w:p>
            <w:pPr>
              <w:jc w:val="center"/>
              <w:ind w:right="180"/>
              <w:spacing w:after="0"/>
              <w:rPr>
                <w:sz w:val="20"/>
                <w:szCs w:val="20"/>
                <w:color w:val="auto"/>
              </w:rPr>
            </w:pPr>
            <w:r>
              <w:rPr>
                <w:rFonts w:ascii="Arial" w:cs="Arial" w:eastAsia="Arial" w:hAnsi="Arial"/>
                <w:sz w:val="18"/>
                <w:szCs w:val="18"/>
                <w:color w:val="auto"/>
                <w:w w:val="99"/>
              </w:rPr>
              <w:t>(b)</w:t>
            </w:r>
          </w:p>
        </w:tc>
        <w:tc>
          <w:tcPr>
            <w:tcW w:w="4480" w:type="dxa"/>
            <w:vAlign w:val="bottom"/>
            <w:gridSpan w:val="2"/>
          </w:tcPr>
          <w:p>
            <w:pPr>
              <w:jc w:val="center"/>
              <w:ind w:right="100"/>
              <w:spacing w:after="0"/>
              <w:rPr>
                <w:sz w:val="20"/>
                <w:szCs w:val="20"/>
                <w:color w:val="auto"/>
              </w:rPr>
            </w:pPr>
            <w:r>
              <w:rPr>
                <w:rFonts w:ascii="Arial" w:cs="Arial" w:eastAsia="Arial" w:hAnsi="Arial"/>
                <w:sz w:val="18"/>
                <w:szCs w:val="18"/>
                <w:color w:val="auto"/>
              </w:rPr>
              <w:t>(c)</w:t>
            </w:r>
          </w:p>
        </w:tc>
        <w:tc>
          <w:tcPr>
            <w:tcW w:w="70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(d)</w:t>
            </w:r>
          </w:p>
        </w:tc>
        <w:tc>
          <w:tcPr>
            <w:tcW w:w="280" w:type="dxa"/>
            <w:vAlign w:val="bottom"/>
          </w:tcPr>
          <w:p>
            <w:pPr>
              <w:spacing w:after="0"/>
              <w:rPr>
                <w:sz w:val="19"/>
                <w:szCs w:val="19"/>
                <w:color w:val="auto"/>
              </w:rPr>
            </w:pPr>
          </w:p>
        </w:tc>
        <w:tc>
          <w:tcPr>
            <w:tcW w:w="1220" w:type="dxa"/>
            <w:vAlign w:val="bottom"/>
          </w:tcPr>
          <w:p>
            <w:pPr>
              <w:ind w:left="360"/>
              <w:spacing w:after="0"/>
              <w:rPr>
                <w:sz w:val="20"/>
                <w:szCs w:val="20"/>
                <w:color w:val="auto"/>
              </w:rPr>
            </w:pPr>
            <w:r>
              <w:rPr>
                <w:rFonts w:ascii="Arial" w:cs="Arial" w:eastAsia="Arial" w:hAnsi="Arial"/>
                <w:sz w:val="18"/>
                <w:szCs w:val="18"/>
                <w:color w:val="auto"/>
              </w:rPr>
              <w:t>(e)</w:t>
            </w: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3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8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Description of Investment Including</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960" w:type="dxa"/>
            <w:vAlign w:val="bottom"/>
            <w:gridSpan w:val="2"/>
          </w:tcPr>
          <w:p>
            <w:pPr>
              <w:jc w:val="center"/>
              <w:ind w:right="160"/>
              <w:spacing w:after="0"/>
              <w:rPr>
                <w:sz w:val="20"/>
                <w:szCs w:val="20"/>
                <w:color w:val="auto"/>
              </w:rPr>
            </w:pPr>
            <w:r>
              <w:rPr>
                <w:rFonts w:ascii="Arial" w:cs="Arial" w:eastAsia="Arial" w:hAnsi="Arial"/>
                <w:sz w:val="18"/>
                <w:szCs w:val="18"/>
                <w:color w:val="auto"/>
                <w:w w:val="98"/>
              </w:rPr>
              <w:t>Identify of Issue, Borrower, Lessor, or</w:t>
            </w:r>
          </w:p>
        </w:tc>
        <w:tc>
          <w:tcPr>
            <w:tcW w:w="4480" w:type="dxa"/>
            <w:vAlign w:val="bottom"/>
            <w:gridSpan w:val="2"/>
          </w:tcPr>
          <w:p>
            <w:pPr>
              <w:jc w:val="center"/>
              <w:ind w:right="100"/>
              <w:spacing w:after="0"/>
              <w:rPr>
                <w:sz w:val="20"/>
                <w:szCs w:val="20"/>
                <w:color w:val="auto"/>
              </w:rPr>
            </w:pPr>
            <w:r>
              <w:rPr>
                <w:rFonts w:ascii="Arial" w:cs="Arial" w:eastAsia="Arial" w:hAnsi="Arial"/>
                <w:sz w:val="18"/>
                <w:szCs w:val="18"/>
                <w:color w:val="auto"/>
              </w:rPr>
              <w:t>Maturity Date, Rate of Interest,</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center"/>
              <w:ind w:right="170"/>
              <w:spacing w:after="0"/>
              <w:rPr>
                <w:sz w:val="20"/>
                <w:szCs w:val="20"/>
                <w:color w:val="auto"/>
              </w:rPr>
            </w:pPr>
            <w:r>
              <w:rPr>
                <w:rFonts w:ascii="Arial" w:cs="Arial" w:eastAsia="Arial" w:hAnsi="Arial"/>
                <w:sz w:val="18"/>
                <w:szCs w:val="18"/>
                <w:color w:val="auto"/>
                <w:w w:val="99"/>
              </w:rPr>
              <w:t>Current</w:t>
            </w:r>
          </w:p>
        </w:tc>
        <w:tc>
          <w:tcPr>
            <w:tcW w:w="0" w:type="dxa"/>
            <w:vAlign w:val="bottom"/>
          </w:tcPr>
          <w:p>
            <w:pPr>
              <w:spacing w:after="0"/>
              <w:rPr>
                <w:sz w:val="1"/>
                <w:szCs w:val="1"/>
                <w:color w:val="auto"/>
              </w:rPr>
            </w:pPr>
          </w:p>
        </w:tc>
      </w:tr>
      <w:tr>
        <w:trPr>
          <w:trHeight w:val="235"/>
        </w:trPr>
        <w:tc>
          <w:tcPr>
            <w:tcW w:w="580" w:type="dxa"/>
            <w:vAlign w:val="bottom"/>
          </w:tcPr>
          <w:p>
            <w:pPr>
              <w:spacing w:after="0"/>
              <w:rPr>
                <w:sz w:val="20"/>
                <w:szCs w:val="20"/>
                <w:color w:val="auto"/>
              </w:rPr>
            </w:pPr>
          </w:p>
        </w:tc>
        <w:tc>
          <w:tcPr>
            <w:tcW w:w="3960" w:type="dxa"/>
            <w:vAlign w:val="bottom"/>
            <w:gridSpan w:val="2"/>
          </w:tcPr>
          <w:p>
            <w:pPr>
              <w:jc w:val="center"/>
              <w:ind w:right="180"/>
              <w:spacing w:after="0"/>
              <w:rPr>
                <w:sz w:val="20"/>
                <w:szCs w:val="20"/>
                <w:color w:val="auto"/>
              </w:rPr>
            </w:pPr>
            <w:r>
              <w:rPr>
                <w:rFonts w:ascii="Arial" w:cs="Arial" w:eastAsia="Arial" w:hAnsi="Arial"/>
                <w:sz w:val="18"/>
                <w:szCs w:val="18"/>
                <w:color w:val="auto"/>
                <w:w w:val="99"/>
              </w:rPr>
              <w:t>Similar Party</w:t>
            </w:r>
          </w:p>
        </w:tc>
        <w:tc>
          <w:tcPr>
            <w:tcW w:w="44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Collateral, Par of Maturity Value</w:t>
            </w:r>
          </w:p>
        </w:tc>
        <w:tc>
          <w:tcPr>
            <w:tcW w:w="700" w:type="dxa"/>
            <w:vAlign w:val="bottom"/>
            <w:gridSpan w:val="2"/>
          </w:tcPr>
          <w:p>
            <w:pPr>
              <w:jc w:val="center"/>
              <w:ind w:right="100"/>
              <w:spacing w:after="0"/>
              <w:rPr>
                <w:sz w:val="20"/>
                <w:szCs w:val="20"/>
                <w:color w:val="auto"/>
              </w:rPr>
            </w:pPr>
            <w:r>
              <w:rPr>
                <w:rFonts w:ascii="Arial" w:cs="Arial" w:eastAsia="Arial" w:hAnsi="Arial"/>
                <w:sz w:val="18"/>
                <w:szCs w:val="18"/>
                <w:color w:val="auto"/>
                <w:w w:val="97"/>
              </w:rPr>
              <w:t>Cost</w:t>
            </w:r>
          </w:p>
        </w:tc>
        <w:tc>
          <w:tcPr>
            <w:tcW w:w="280" w:type="dxa"/>
            <w:vAlign w:val="bottom"/>
          </w:tcPr>
          <w:p>
            <w:pPr>
              <w:spacing w:after="0"/>
              <w:rPr>
                <w:sz w:val="20"/>
                <w:szCs w:val="20"/>
                <w:color w:val="auto"/>
              </w:rPr>
            </w:pPr>
          </w:p>
        </w:tc>
        <w:tc>
          <w:tcPr>
            <w:tcW w:w="1220" w:type="dxa"/>
            <w:vAlign w:val="bottom"/>
          </w:tcPr>
          <w:p>
            <w:pPr>
              <w:jc w:val="center"/>
              <w:ind w:right="190"/>
              <w:spacing w:after="0"/>
              <w:rPr>
                <w:sz w:val="20"/>
                <w:szCs w:val="20"/>
                <w:color w:val="auto"/>
              </w:rPr>
            </w:pPr>
            <w:r>
              <w:rPr>
                <w:rFonts w:ascii="Arial" w:cs="Arial" w:eastAsia="Arial" w:hAnsi="Arial"/>
                <w:sz w:val="18"/>
                <w:szCs w:val="18"/>
                <w:color w:val="auto"/>
                <w:w w:val="99"/>
              </w:rPr>
              <w:t>Value</w:t>
            </w:r>
          </w:p>
        </w:tc>
        <w:tc>
          <w:tcPr>
            <w:tcW w:w="0" w:type="dxa"/>
            <w:vAlign w:val="bottom"/>
          </w:tcPr>
          <w:p>
            <w:pPr>
              <w:spacing w:after="0"/>
              <w:rPr>
                <w:sz w:val="1"/>
                <w:szCs w:val="1"/>
                <w:color w:val="auto"/>
              </w:rPr>
            </w:pPr>
          </w:p>
        </w:tc>
      </w:tr>
      <w:tr>
        <w:trPr>
          <w:trHeight w:val="250"/>
        </w:trPr>
        <w:tc>
          <w:tcPr>
            <w:tcW w:w="580" w:type="dxa"/>
            <w:vAlign w:val="bottom"/>
          </w:tcPr>
          <w:p>
            <w:pPr>
              <w:spacing w:after="0"/>
              <w:rPr>
                <w:sz w:val="21"/>
                <w:szCs w:val="21"/>
                <w:color w:val="auto"/>
              </w:rPr>
            </w:pPr>
          </w:p>
        </w:tc>
        <w:tc>
          <w:tcPr>
            <w:tcW w:w="3780" w:type="dxa"/>
            <w:vAlign w:val="bottom"/>
            <w:tcBorders>
              <w:top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43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580" w:type="dxa"/>
            <w:vAlign w:val="bottom"/>
            <w:shd w:val="clear" w:color="auto" w:fill="CCEEFF"/>
          </w:tcPr>
          <w:p>
            <w:pPr>
              <w:jc w:val="right"/>
              <w:ind w:right="150"/>
              <w:spacing w:after="0" w:line="176" w:lineRule="exact"/>
              <w:rPr>
                <w:sz w:val="20"/>
                <w:szCs w:val="20"/>
                <w:color w:val="auto"/>
              </w:rPr>
            </w:pPr>
            <w:r>
              <w:rPr>
                <w:rFonts w:ascii="Arial" w:cs="Arial" w:eastAsia="Arial" w:hAnsi="Arial"/>
                <w:sz w:val="18"/>
                <w:szCs w:val="18"/>
                <w:color w:val="auto"/>
              </w:rPr>
              <w:t>*</w:t>
            </w:r>
          </w:p>
        </w:tc>
        <w:tc>
          <w:tcPr>
            <w:tcW w:w="3960" w:type="dxa"/>
            <w:vAlign w:val="bottom"/>
            <w:gridSpan w:val="2"/>
            <w:shd w:val="clear" w:color="auto" w:fill="CCEEFF"/>
          </w:tcPr>
          <w:p>
            <w:pPr>
              <w:ind w:left="140"/>
              <w:spacing w:after="0" w:line="176" w:lineRule="exact"/>
              <w:rPr>
                <w:sz w:val="20"/>
                <w:szCs w:val="20"/>
                <w:color w:val="auto"/>
              </w:rPr>
            </w:pPr>
            <w:r>
              <w:rPr>
                <w:rFonts w:ascii="Arial" w:cs="Arial" w:eastAsia="Arial" w:hAnsi="Arial"/>
                <w:sz w:val="18"/>
                <w:szCs w:val="18"/>
                <w:color w:val="auto"/>
              </w:rPr>
              <w:t>Notes receivable from participants</w:t>
            </w:r>
          </w:p>
        </w:tc>
        <w:tc>
          <w:tcPr>
            <w:tcW w:w="448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Notes bearing interest at rates ranging from 3.25% to</w:t>
            </w:r>
          </w:p>
        </w:tc>
        <w:tc>
          <w:tcPr>
            <w:tcW w:w="60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5"/>
                <w:szCs w:val="15"/>
                <w:color w:val="auto"/>
              </w:rPr>
            </w:pPr>
          </w:p>
        </w:tc>
        <w:tc>
          <w:tcPr>
            <w:tcW w:w="2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vMerge w:val="restart"/>
            <w:shd w:val="clear" w:color="auto" w:fill="CCEEFF"/>
          </w:tcPr>
          <w:p>
            <w:pPr>
              <w:ind w:left="340"/>
              <w:spacing w:after="0"/>
              <w:rPr>
                <w:sz w:val="20"/>
                <w:szCs w:val="20"/>
                <w:color w:val="auto"/>
              </w:rPr>
            </w:pPr>
            <w:r>
              <w:rPr>
                <w:rFonts w:ascii="Arial" w:cs="Arial" w:eastAsia="Arial" w:hAnsi="Arial"/>
                <w:sz w:val="18"/>
                <w:szCs w:val="18"/>
                <w:color w:val="auto"/>
              </w:rPr>
              <w:t>4,232,137</w:t>
            </w:r>
          </w:p>
        </w:tc>
        <w:tc>
          <w:tcPr>
            <w:tcW w:w="0" w:type="dxa"/>
            <w:vAlign w:val="bottom"/>
          </w:tcPr>
          <w:p>
            <w:pPr>
              <w:spacing w:after="0"/>
              <w:rPr>
                <w:sz w:val="1"/>
                <w:szCs w:val="1"/>
                <w:color w:val="auto"/>
              </w:rPr>
            </w:pPr>
          </w:p>
        </w:tc>
      </w:tr>
      <w:tr>
        <w:trPr>
          <w:trHeight w:val="248"/>
        </w:trPr>
        <w:tc>
          <w:tcPr>
            <w:tcW w:w="580" w:type="dxa"/>
            <w:vAlign w:val="bottom"/>
            <w:shd w:val="clear" w:color="auto" w:fill="CCEEFF"/>
          </w:tcPr>
          <w:p>
            <w:pPr>
              <w:spacing w:after="0"/>
              <w:rPr>
                <w:sz w:val="21"/>
                <w:szCs w:val="21"/>
                <w:color w:val="auto"/>
              </w:rPr>
            </w:pPr>
          </w:p>
        </w:tc>
        <w:tc>
          <w:tcPr>
            <w:tcW w:w="37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4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9.50%, and maturing through to 2036</w:t>
            </w:r>
          </w:p>
        </w:tc>
        <w:tc>
          <w:tcPr>
            <w:tcW w:w="60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vMerge w:val="continue"/>
            <w:shd w:val="clear" w:color="auto" w:fill="CCEEFF"/>
          </w:tcPr>
          <w:p>
            <w:pPr>
              <w:spacing w:after="0"/>
              <w:rPr>
                <w:sz w:val="21"/>
                <w:szCs w:val="21"/>
                <w:color w:val="auto"/>
              </w:rPr>
            </w:pPr>
          </w:p>
        </w:tc>
        <w:tc>
          <w:tcPr>
            <w:tcW w:w="122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4,232,137</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89" w:lineRule="exact"/>
        <w:rPr>
          <w:sz w:val="20"/>
          <w:szCs w:val="20"/>
          <w:color w:val="auto"/>
        </w:rPr>
      </w:pPr>
    </w:p>
    <w:p>
      <w:pPr>
        <w:ind w:left="360" w:hanging="334"/>
        <w:spacing w:after="0"/>
        <w:tabs>
          <w:tab w:leader="none" w:pos="3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Denotes a party in interest to the Plan</w:t>
      </w:r>
    </w:p>
    <w:p>
      <w:pPr>
        <w:spacing w:after="0" w:line="32" w:lineRule="exact"/>
        <w:rPr>
          <w:sz w:val="20"/>
          <w:szCs w:val="20"/>
          <w:color w:val="auto"/>
        </w:rPr>
      </w:pPr>
    </w:p>
    <w:p>
      <w:pPr>
        <w:ind w:left="360" w:hanging="334"/>
        <w:spacing w:after="0"/>
        <w:tabs>
          <w:tab w:leader="none" w:pos="3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All investments are participant-directed; therefore, historical cost information is not required.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749300</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Refer to the Report of Independent Registered Public Accounting Firm</w:t>
      </w:r>
    </w:p>
    <w:p>
      <w:pPr>
        <w:jc w:val="right"/>
        <w:spacing w:after="0"/>
        <w:rPr>
          <w:sz w:val="20"/>
          <w:szCs w:val="20"/>
          <w:color w:val="auto"/>
        </w:rPr>
      </w:pPr>
      <w:r>
        <w:rPr>
          <w:rFonts w:ascii="Arial" w:cs="Arial" w:eastAsia="Arial" w:hAnsi="Arial"/>
          <w:sz w:val="18"/>
          <w:szCs w:val="18"/>
          <w:color w:val="auto"/>
        </w:rPr>
        <w:t>P.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8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940" w:type="dxa"/>
            <w:vAlign w:val="bottom"/>
            <w:gridSpan w:val="2"/>
          </w:tcPr>
          <w:p>
            <w:pPr>
              <w:ind w:left="2660"/>
              <w:spacing w:after="0"/>
              <w:rPr>
                <w:sz w:val="20"/>
                <w:szCs w:val="20"/>
                <w:color w:val="auto"/>
              </w:rPr>
            </w:pPr>
            <w:r>
              <w:rPr>
                <w:rFonts w:ascii="Arial" w:cs="Arial" w:eastAsia="Arial" w:hAnsi="Arial"/>
                <w:sz w:val="18"/>
                <w:szCs w:val="18"/>
                <w:b w:val="1"/>
                <w:bCs w:val="1"/>
                <w:color w:val="auto"/>
              </w:rPr>
              <w:t>EXHIBIT INDEX</w:t>
            </w:r>
          </w:p>
        </w:tc>
      </w:tr>
      <w:tr>
        <w:trPr>
          <w:trHeight w:val="474"/>
        </w:trPr>
        <w:tc>
          <w:tcPr>
            <w:tcW w:w="22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rPr>
              <w:t>Exhibit Number</w:t>
            </w:r>
          </w:p>
        </w:tc>
        <w:tc>
          <w:tcPr>
            <w:tcW w:w="20" w:type="dxa"/>
            <w:vAlign w:val="bottom"/>
          </w:tcPr>
          <w:p>
            <w:pPr>
              <w:spacing w:after="0"/>
              <w:rPr>
                <w:sz w:val="24"/>
                <w:szCs w:val="24"/>
                <w:color w:val="auto"/>
              </w:rPr>
            </w:pPr>
          </w:p>
        </w:tc>
        <w:tc>
          <w:tcPr>
            <w:tcW w:w="8940" w:type="dxa"/>
            <w:vAlign w:val="bottom"/>
            <w:gridSpan w:val="2"/>
          </w:tcPr>
          <w:p>
            <w:pPr>
              <w:spacing w:after="0"/>
              <w:rPr>
                <w:sz w:val="20"/>
                <w:szCs w:val="20"/>
                <w:color w:val="auto"/>
              </w:rPr>
            </w:pPr>
            <w:r>
              <w:rPr>
                <w:rFonts w:ascii="Arial" w:cs="Arial" w:eastAsia="Arial" w:hAnsi="Arial"/>
                <w:sz w:val="18"/>
                <w:szCs w:val="18"/>
                <w:b w:val="1"/>
                <w:bCs w:val="1"/>
                <w:color w:val="auto"/>
              </w:rPr>
              <w:t>Description of Documents</w:t>
            </w:r>
          </w:p>
        </w:tc>
      </w:tr>
      <w:tr>
        <w:trPr>
          <w:trHeight w:val="398"/>
        </w:trPr>
        <w:tc>
          <w:tcPr>
            <w:tcW w:w="1880" w:type="dxa"/>
            <w:vAlign w:val="bottom"/>
            <w:tcBorders>
              <w:top w:val="single" w:sz="8" w:color="auto"/>
            </w:tcBorders>
          </w:tcPr>
          <w:p>
            <w:pPr>
              <w:jc w:val="right"/>
              <w:ind w:right="670"/>
              <w:spacing w:after="0"/>
              <w:rPr>
                <w:sz w:val="20"/>
                <w:szCs w:val="20"/>
                <w:color w:val="auto"/>
              </w:rPr>
            </w:pPr>
            <w:r>
              <w:rPr>
                <w:rFonts w:ascii="Arial" w:cs="Arial" w:eastAsia="Arial" w:hAnsi="Arial"/>
                <w:sz w:val="18"/>
                <w:szCs w:val="18"/>
                <w:color w:val="auto"/>
              </w:rPr>
              <w:t>23.1</w:t>
            </w:r>
          </w:p>
        </w:tc>
        <w:tc>
          <w:tcPr>
            <w:tcW w:w="40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89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0000FF"/>
              </w:rPr>
              <w:t>Consent of Independent Registered Public Accounting Firm</w:t>
            </w:r>
          </w:p>
        </w:tc>
      </w:tr>
      <w:tr>
        <w:trPr>
          <w:trHeight w:val="20"/>
        </w:trPr>
        <w:tc>
          <w:tcPr>
            <w:tcW w:w="18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720" w:type="dxa"/>
            <w:vAlign w:val="bottom"/>
            <w:shd w:val="clear" w:color="auto" w:fill="0000FF"/>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SIGNATURES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 xml:space="preserve">The Plan. </w:t>
      </w:r>
      <w:r>
        <w:rPr>
          <w:rFonts w:ascii="Arial" w:cs="Arial" w:eastAsia="Arial" w:hAnsi="Arial"/>
          <w:sz w:val="20"/>
          <w:szCs w:val="20"/>
          <w:color w:val="auto"/>
        </w:rPr>
        <w:t>Pursuant to the requirements of the Securities Exchange Act of 1934, the trustees (or other persons who administer</w:t>
      </w:r>
    </w:p>
    <w:p>
      <w:pPr>
        <w:ind w:right="20"/>
        <w:spacing w:after="0" w:line="225" w:lineRule="auto"/>
        <w:rPr>
          <w:sz w:val="20"/>
          <w:szCs w:val="20"/>
          <w:color w:val="auto"/>
        </w:rPr>
      </w:pPr>
      <w:r>
        <w:rPr>
          <w:rFonts w:ascii="Arial" w:cs="Arial" w:eastAsia="Arial" w:hAnsi="Arial"/>
          <w:sz w:val="20"/>
          <w:szCs w:val="20"/>
          <w:color w:val="auto"/>
        </w:rPr>
        <w:t>the employee benefits plan) have duly caused this annual report to be signed on its behalf by the undersigned hereunto duly authorized.</w:t>
      </w:r>
    </w:p>
    <w:p>
      <w:pPr>
        <w:spacing w:after="0" w:line="251" w:lineRule="exact"/>
        <w:rPr>
          <w:sz w:val="20"/>
          <w:szCs w:val="20"/>
          <w:color w:val="auto"/>
        </w:rPr>
      </w:pPr>
    </w:p>
    <w:p>
      <w:pPr>
        <w:ind w:left="5640"/>
        <w:spacing w:after="0"/>
        <w:rPr>
          <w:sz w:val="20"/>
          <w:szCs w:val="20"/>
          <w:color w:val="auto"/>
        </w:rPr>
      </w:pPr>
      <w:r>
        <w:rPr>
          <w:rFonts w:ascii="Arial" w:cs="Arial" w:eastAsia="Arial" w:hAnsi="Arial"/>
          <w:sz w:val="20"/>
          <w:szCs w:val="20"/>
          <w:b w:val="1"/>
          <w:bCs w:val="1"/>
          <w:color w:val="auto"/>
        </w:rPr>
        <w:t>Ingredion Incorporated</w:t>
      </w:r>
    </w:p>
    <w:p>
      <w:pPr>
        <w:spacing w:after="0" w:line="43" w:lineRule="exact"/>
        <w:rPr>
          <w:sz w:val="20"/>
          <w:szCs w:val="20"/>
          <w:color w:val="auto"/>
        </w:rPr>
      </w:pPr>
    </w:p>
    <w:p>
      <w:pPr>
        <w:ind w:left="5640"/>
        <w:spacing w:after="0"/>
        <w:rPr>
          <w:sz w:val="20"/>
          <w:szCs w:val="20"/>
          <w:color w:val="auto"/>
        </w:rPr>
      </w:pPr>
      <w:r>
        <w:rPr>
          <w:rFonts w:ascii="Arial" w:cs="Arial" w:eastAsia="Arial" w:hAnsi="Arial"/>
          <w:sz w:val="20"/>
          <w:szCs w:val="20"/>
          <w:b w:val="1"/>
          <w:bCs w:val="1"/>
          <w:color w:val="auto"/>
        </w:rPr>
        <w:t>Retirement Savings Plan for</w:t>
      </w:r>
    </w:p>
    <w:p>
      <w:pPr>
        <w:spacing w:after="0" w:line="27" w:lineRule="exact"/>
        <w:rPr>
          <w:sz w:val="20"/>
          <w:szCs w:val="20"/>
          <w:color w:val="auto"/>
        </w:rPr>
      </w:pPr>
    </w:p>
    <w:p>
      <w:pPr>
        <w:ind w:left="5640"/>
        <w:spacing w:after="0"/>
        <w:rPr>
          <w:sz w:val="20"/>
          <w:szCs w:val="20"/>
          <w:color w:val="auto"/>
        </w:rPr>
      </w:pPr>
      <w:r>
        <w:rPr>
          <w:rFonts w:ascii="Arial" w:cs="Arial" w:eastAsia="Arial" w:hAnsi="Arial"/>
          <w:sz w:val="20"/>
          <w:szCs w:val="20"/>
          <w:b w:val="1"/>
          <w:bCs w:val="1"/>
          <w:color w:val="auto"/>
        </w:rPr>
        <w:t>Hourly Employees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tbl>
      <w:tblPr>
        <w:tblLayout w:type="fixed"/>
        <w:tblInd w:w="20" w:type="dxa"/>
        <w:tblCellMar>
          <w:top w:w="0" w:type="dxa"/>
          <w:left w:w="0" w:type="dxa"/>
          <w:bottom w:w="0" w:type="dxa"/>
          <w:right w:w="0" w:type="dxa"/>
        </w:tblCellMar>
      </w:tblPr>
      <w:tr>
        <w:trPr>
          <w:trHeight w:val="263"/>
        </w:trPr>
        <w:tc>
          <w:tcPr>
            <w:tcW w:w="3780" w:type="dxa"/>
            <w:vAlign w:val="bottom"/>
          </w:tcPr>
          <w:p>
            <w:pPr>
              <w:spacing w:after="0"/>
              <w:rPr>
                <w:sz w:val="20"/>
                <w:szCs w:val="20"/>
                <w:color w:val="auto"/>
              </w:rPr>
            </w:pPr>
            <w:r>
              <w:rPr>
                <w:rFonts w:ascii="Arial" w:cs="Arial" w:eastAsia="Arial" w:hAnsi="Arial"/>
                <w:sz w:val="20"/>
                <w:szCs w:val="20"/>
                <w:color w:val="auto"/>
              </w:rPr>
              <w:t>Date:  June 25, 2026</w:t>
            </w:r>
          </w:p>
        </w:tc>
        <w:tc>
          <w:tcPr>
            <w:tcW w:w="2440" w:type="dxa"/>
            <w:vAlign w:val="bottom"/>
          </w:tcPr>
          <w:p>
            <w:pPr>
              <w:ind w:left="1820"/>
              <w:spacing w:after="0"/>
              <w:rPr>
                <w:sz w:val="20"/>
                <w:szCs w:val="20"/>
                <w:color w:val="auto"/>
              </w:rPr>
            </w:pPr>
            <w:r>
              <w:rPr>
                <w:rFonts w:ascii="Arial" w:cs="Arial" w:eastAsia="Arial" w:hAnsi="Arial"/>
                <w:sz w:val="20"/>
                <w:szCs w:val="20"/>
                <w:color w:val="auto"/>
              </w:rPr>
              <w:t>By:</w:t>
            </w:r>
          </w:p>
        </w:tc>
        <w:tc>
          <w:tcPr>
            <w:tcW w:w="500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/s/ Julie Quinn</w:t>
            </w:r>
          </w:p>
        </w:tc>
      </w:tr>
      <w:tr>
        <w:trPr>
          <w:trHeight w:val="244"/>
        </w:trPr>
        <w:tc>
          <w:tcPr>
            <w:tcW w:w="3780" w:type="dxa"/>
            <w:vAlign w:val="bottom"/>
          </w:tcPr>
          <w:p>
            <w:pPr>
              <w:spacing w:after="0"/>
              <w:rPr>
                <w:sz w:val="21"/>
                <w:szCs w:val="21"/>
                <w:color w:val="auto"/>
              </w:rPr>
            </w:pPr>
          </w:p>
        </w:tc>
        <w:tc>
          <w:tcPr>
            <w:tcW w:w="2440" w:type="dxa"/>
            <w:vAlign w:val="bottom"/>
          </w:tcPr>
          <w:p>
            <w:pPr>
              <w:spacing w:after="0"/>
              <w:rPr>
                <w:sz w:val="21"/>
                <w:szCs w:val="21"/>
                <w:color w:val="auto"/>
              </w:rPr>
            </w:pPr>
          </w:p>
        </w:tc>
        <w:tc>
          <w:tcPr>
            <w:tcW w:w="5000" w:type="dxa"/>
            <w:vAlign w:val="bottom"/>
          </w:tcPr>
          <w:p>
            <w:pPr>
              <w:ind w:left="20"/>
              <w:spacing w:after="0"/>
              <w:rPr>
                <w:sz w:val="20"/>
                <w:szCs w:val="20"/>
                <w:color w:val="auto"/>
              </w:rPr>
            </w:pPr>
            <w:r>
              <w:rPr>
                <w:rFonts w:ascii="Arial" w:cs="Arial" w:eastAsia="Arial" w:hAnsi="Arial"/>
                <w:sz w:val="20"/>
                <w:szCs w:val="20"/>
                <w:color w:val="auto"/>
              </w:rPr>
              <w:t>Name: Julie Quinn</w:t>
            </w:r>
          </w:p>
        </w:tc>
      </w:tr>
      <w:tr>
        <w:trPr>
          <w:trHeight w:val="261"/>
        </w:trPr>
        <w:tc>
          <w:tcPr>
            <w:tcW w:w="3780" w:type="dxa"/>
            <w:vAlign w:val="bottom"/>
          </w:tcPr>
          <w:p>
            <w:pPr>
              <w:spacing w:after="0"/>
              <w:rPr>
                <w:sz w:val="22"/>
                <w:szCs w:val="22"/>
                <w:color w:val="auto"/>
              </w:rPr>
            </w:pPr>
          </w:p>
        </w:tc>
        <w:tc>
          <w:tcPr>
            <w:tcW w:w="2440" w:type="dxa"/>
            <w:vAlign w:val="bottom"/>
          </w:tcPr>
          <w:p>
            <w:pPr>
              <w:spacing w:after="0"/>
              <w:rPr>
                <w:sz w:val="22"/>
                <w:szCs w:val="22"/>
                <w:color w:val="auto"/>
              </w:rPr>
            </w:pPr>
          </w:p>
        </w:tc>
        <w:tc>
          <w:tcPr>
            <w:tcW w:w="5000" w:type="dxa"/>
            <w:vAlign w:val="bottom"/>
          </w:tcPr>
          <w:p>
            <w:pPr>
              <w:ind w:left="20"/>
              <w:spacing w:after="0"/>
              <w:rPr>
                <w:sz w:val="20"/>
                <w:szCs w:val="20"/>
                <w:color w:val="auto"/>
              </w:rPr>
            </w:pPr>
            <w:r>
              <w:rPr>
                <w:rFonts w:ascii="Arial" w:cs="Arial" w:eastAsia="Arial" w:hAnsi="Arial"/>
                <w:sz w:val="20"/>
                <w:szCs w:val="20"/>
                <w:color w:val="auto"/>
              </w:rPr>
              <w:t>Title:  Plan Administrator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 16</w:t>
      </w:r>
    </w:p>
    <w:p>
      <w:pPr>
        <w:sectPr>
          <w:pgSz w:w="11900" w:h="16838" w:orient="portrait"/>
          <w:cols w:equalWidth="0" w:num="1">
            <w:col w:w="11240"/>
          </w:cols>
          <w:pgMar w:left="320" w:top="108" w:right="339" w:bottom="1440" w:gutter="0" w:footer="0" w:header="0"/>
        </w:sectPr>
      </w:pPr>
    </w:p>
    <w:bookmarkStart w:id="18" w:name="page19"/>
    <w:bookmarkEnd w:id="18"/>
    <w:p>
      <w:pPr>
        <w:jc w:val="right"/>
        <w:spacing w:after="0"/>
        <w:rPr>
          <w:sz w:val="20"/>
          <w:szCs w:val="20"/>
          <w:color w:val="auto"/>
        </w:rPr>
      </w:pPr>
      <w:r>
        <w:rPr>
          <w:rFonts w:ascii="Arial" w:cs="Arial" w:eastAsia="Arial" w:hAnsi="Arial"/>
          <w:sz w:val="20"/>
          <w:szCs w:val="20"/>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CONSENT OF INDEPENDENT REGISTERED PUBLIC ACCOUNTING FIRM</w:t>
      </w:r>
    </w:p>
    <w:p>
      <w:pPr>
        <w:spacing w:after="0" w:line="23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consent to the incorporation by reference in Registration Statement Nos. 333-113746, 333-160612, 333-235579, 333-33100, and 333-71573 on Forms S-8 of Ingredion Incorporated of our report dated June 25, 2026 appearing in this Annual Report on Form 11-K of the Ingredion Incorporated Retirement Savings Plan for Hourly Employees for the year ended December 31, 2025.</w:t>
      </w:r>
    </w:p>
    <w:p>
      <w:pPr>
        <w:spacing w:after="0" w:line="200" w:lineRule="exact"/>
        <w:rPr>
          <w:sz w:val="20"/>
          <w:szCs w:val="20"/>
          <w:color w:val="auto"/>
        </w:rPr>
      </w:pPr>
    </w:p>
    <w:p>
      <w:pPr>
        <w:spacing w:after="0" w:line="293"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/s/Crowe LLP</w:t>
      </w:r>
    </w:p>
    <w:p>
      <w:pPr>
        <w:spacing w:after="0" w:line="32"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Crowe LLP</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color w:val="auto"/>
        </w:rPr>
        <w:t>South Bend, Indiana</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June 25, 2026</w:t>
      </w:r>
    </w:p>
    <w:sectPr>
      <w:pgSz w:w="11900" w:h="16838" w:orient="portrait"/>
      <w:cols w:equalWidth="0" w:num="1">
        <w:col w:w="11240"/>
      </w:cols>
      <w:pgMar w:left="320" w:top="141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upperLetter"/>
      <w:start w:val="24"/>
    </w:lvl>
  </w:abstractNum>
  <w:abstractNum w:abstractNumId="1">
    <w:nsid w:val="2EB141F2"/>
    <w:multiLevelType w:val="hybridMultilevel"/>
    <w:lvl w:ilvl="0">
      <w:lvlJc w:val="left"/>
      <w:lvlText w:val="["/>
      <w:numFmt w:val="bullet"/>
      <w:start w:val="1"/>
    </w:lvl>
    <w:lvl w:ilvl="1">
      <w:lvlJc w:val="left"/>
      <w:lvlText w:val="%2."/>
      <w:numFmt w:val="upperLetter"/>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1."/>
      <w:numFmt w:val="decimal"/>
      <w:start w:val="1"/>
    </w:lvl>
  </w:abstractNum>
  <w:abstractNum w:abstractNumId="5">
    <w:nsid w:val="515F007C"/>
    <w:multiLevelType w:val="hybridMultilevel"/>
    <w:lvl w:ilvl="0">
      <w:lvlJc w:val="left"/>
      <w:lvlText w:val="%1."/>
      <w:numFmt w:val="decimal"/>
      <w:start w:val="2"/>
    </w:lvl>
  </w:abstractNum>
  <w:abstractNum w:abstractNumId="6">
    <w:nsid w:val="5BD062C2"/>
    <w:multiLevelType w:val="hybridMultilevel"/>
    <w:lvl w:ilvl="0">
      <w:lvlJc w:val="left"/>
      <w:lvlText w:val="%1."/>
      <w:numFmt w:val="decimal"/>
      <w:start w:val="3"/>
    </w:lvl>
  </w:abstractNum>
  <w:abstractNum w:abstractNumId="7">
    <w:nsid w:val="12200854"/>
    <w:multiLevelType w:val="hybridMultilevel"/>
    <w:lvl w:ilvl="0">
      <w:lvlJc w:val="left"/>
      <w:lvlText w:val="(%1)"/>
      <w:numFmt w:val="lowerLetter"/>
      <w:start w:val="1"/>
    </w:lvl>
  </w:abstractNum>
  <w:abstractNum w:abstractNumId="8">
    <w:nsid w:val="4DB127F8"/>
    <w:multiLevelType w:val="hybridMultilevel"/>
    <w:lvl w:ilvl="0">
      <w:lvlJc w:val="left"/>
      <w:lvlText w:val="(%1)"/>
      <w:numFmt w:val="decimal"/>
      <w:start w:val="1"/>
    </w:lvl>
  </w:abstractNum>
  <w:abstractNum w:abstractNumId="9">
    <w:nsid w:val="216231B"/>
    <w:multiLevelType w:val="hybridMultilevel"/>
    <w:lvl w:ilvl="0">
      <w:lvlJc w:val="left"/>
      <w:lvlText w:val="*"/>
      <w:numFmt w:val="bullet"/>
      <w:start w:val="1"/>
    </w:lvl>
  </w:abstractNum>
  <w:abstractNum w:abstractNumId="10">
    <w:nsid w:val="1F16E9E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2026-06-26T10:53:39Z</dcterms:created>
  <dcterms:modified xsi:type="dcterms:W3CDTF">2026-06-26T10:53:39Z</dcterms:modified>
</cp:coreProperties>
</file>