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UNITED STATES</w:t>
      </w:r>
    </w:p>
    <w:p>
      <w:pPr>
        <w:jc w:val="center"/>
        <w:ind w:right="-1100"/>
        <w:spacing w:after="0" w:line="211" w:lineRule="auto"/>
        <w:rPr>
          <w:sz w:val="20"/>
          <w:szCs w:val="20"/>
          <w:color w:val="auto"/>
        </w:rPr>
      </w:pPr>
      <w:r>
        <w:rPr>
          <w:rFonts w:ascii="Arial" w:cs="Arial" w:eastAsia="Arial" w:hAnsi="Arial"/>
          <w:sz w:val="20"/>
          <w:szCs w:val="20"/>
          <w:b w:val="1"/>
          <w:bCs w:val="1"/>
          <w:color w:val="auto"/>
        </w:rPr>
        <w:t>SECURITIES AND EXCHANGE COMMISSION</w:t>
      </w:r>
    </w:p>
    <w:p>
      <w:pPr>
        <w:jc w:val="center"/>
        <w:ind w:right="-1100"/>
        <w:spacing w:after="0"/>
        <w:rPr>
          <w:sz w:val="20"/>
          <w:szCs w:val="20"/>
          <w:color w:val="auto"/>
        </w:rPr>
      </w:pPr>
      <w:r>
        <w:rPr>
          <w:rFonts w:ascii="Arial" w:cs="Arial" w:eastAsia="Arial" w:hAnsi="Arial"/>
          <w:sz w:val="20"/>
          <w:szCs w:val="20"/>
          <w:b w:val="1"/>
          <w:bCs w:val="1"/>
          <w:color w:val="auto"/>
        </w:rPr>
        <w:t>WASHINGTON, D.C. 20549</w:t>
      </w:r>
    </w:p>
    <w:p>
      <w:pPr>
        <w:spacing w:after="0" w:line="182" w:lineRule="exact"/>
        <w:rPr>
          <w:sz w:val="24"/>
          <w:szCs w:val="24"/>
          <w:color w:val="auto"/>
        </w:rPr>
      </w:pPr>
    </w:p>
    <w:p>
      <w:pPr>
        <w:ind w:left="5100"/>
        <w:spacing w:after="0"/>
        <w:rPr>
          <w:sz w:val="20"/>
          <w:szCs w:val="20"/>
          <w:color w:val="auto"/>
        </w:rPr>
      </w:pPr>
      <w:r>
        <w:rPr>
          <w:rFonts w:ascii="Arial" w:cs="Arial" w:eastAsia="Arial" w:hAnsi="Arial"/>
          <w:sz w:val="20"/>
          <w:szCs w:val="20"/>
          <w:b w:val="1"/>
          <w:bCs w:val="1"/>
          <w:color w:val="auto"/>
        </w:rPr>
        <w:t>FORM 11-K</w:t>
      </w:r>
    </w:p>
    <w:p>
      <w:pPr>
        <w:spacing w:after="0" w:line="208" w:lineRule="exact"/>
        <w:rPr>
          <w:sz w:val="24"/>
          <w:szCs w:val="24"/>
          <w:color w:val="auto"/>
        </w:rPr>
      </w:pPr>
    </w:p>
    <w:p>
      <w:pPr>
        <w:ind w:left="2900"/>
        <w:spacing w:after="0"/>
        <w:rPr>
          <w:sz w:val="20"/>
          <w:szCs w:val="20"/>
          <w:color w:val="auto"/>
        </w:rPr>
      </w:pPr>
      <w:r>
        <w:rPr>
          <w:rFonts w:ascii="Arial" w:cs="Arial" w:eastAsia="Arial" w:hAnsi="Arial"/>
          <w:sz w:val="20"/>
          <w:szCs w:val="20"/>
          <w:b w:val="1"/>
          <w:bCs w:val="1"/>
          <w:color w:val="auto"/>
        </w:rPr>
        <w:t>ANNUAL REPORT PURSUANT TO SECTION 15(d) OF THE</w:t>
      </w:r>
    </w:p>
    <w:p>
      <w:pPr>
        <w:ind w:left="3800"/>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20"/>
          <w:szCs w:val="20"/>
          <w:color w:val="auto"/>
        </w:rPr>
        <w:t>(Mark One)</w:t>
      </w:r>
    </w:p>
    <w:p>
      <w:pPr>
        <w:spacing w:after="0" w:line="216" w:lineRule="exact"/>
        <w:rPr>
          <w:sz w:val="24"/>
          <w:szCs w:val="24"/>
          <w:color w:val="auto"/>
        </w:rPr>
      </w:pPr>
    </w:p>
    <w:p>
      <w:pPr>
        <w:ind w:left="3640" w:right="2539" w:hanging="3632"/>
        <w:spacing w:after="0" w:line="480" w:lineRule="auto"/>
        <w:tabs>
          <w:tab w:leader="none" w:pos="460" w:val="left"/>
        </w:tabs>
        <w:numPr>
          <w:ilvl w:val="0"/>
          <w:numId w:val="1"/>
        </w:numPr>
        <w:rPr>
          <w:rFonts w:ascii="Arial" w:cs="Arial" w:eastAsia="Arial" w:hAnsi="Arial"/>
          <w:sz w:val="19"/>
          <w:szCs w:val="19"/>
          <w:color w:val="auto"/>
        </w:rPr>
      </w:pPr>
      <w:r>
        <w:rPr>
          <w:rFonts w:ascii="Arial" w:cs="Arial" w:eastAsia="Arial" w:hAnsi="Arial"/>
          <w:sz w:val="19"/>
          <w:szCs w:val="19"/>
          <w:color w:val="auto"/>
        </w:rPr>
        <w:t>Annual report pursuant to Section 15(d) of the Securities Exchange Act of 1934 For the fiscal year ended December 31, 2025</w:t>
      </w:r>
    </w:p>
    <w:p>
      <w:pPr>
        <w:spacing w:after="0" w:line="2" w:lineRule="exact"/>
        <w:rPr>
          <w:sz w:val="24"/>
          <w:szCs w:val="24"/>
          <w:color w:val="auto"/>
        </w:rPr>
      </w:pPr>
    </w:p>
    <w:p>
      <w:pPr>
        <w:ind w:left="5520"/>
        <w:spacing w:after="0"/>
        <w:rPr>
          <w:sz w:val="20"/>
          <w:szCs w:val="20"/>
          <w:color w:val="auto"/>
        </w:rPr>
      </w:pPr>
      <w:r>
        <w:rPr>
          <w:rFonts w:ascii="Arial" w:cs="Arial" w:eastAsia="Arial" w:hAnsi="Arial"/>
          <w:sz w:val="20"/>
          <w:szCs w:val="20"/>
          <w:b w:val="1"/>
          <w:bCs w:val="1"/>
          <w:color w:val="auto"/>
        </w:rPr>
        <w:t>or</w:t>
      </w:r>
    </w:p>
    <w:p>
      <w:pPr>
        <w:spacing w:after="0" w:line="218" w:lineRule="exact"/>
        <w:rPr>
          <w:sz w:val="24"/>
          <w:szCs w:val="24"/>
          <w:color w:val="auto"/>
        </w:rPr>
      </w:pPr>
    </w:p>
    <w:p>
      <w:pPr>
        <w:ind w:left="3520" w:right="2419" w:hanging="3512"/>
        <w:spacing w:after="0" w:line="481" w:lineRule="auto"/>
        <w:tabs>
          <w:tab w:leader="none" w:pos="164" w:val="left"/>
        </w:tabs>
        <w:numPr>
          <w:ilvl w:val="0"/>
          <w:numId w:val="2"/>
        </w:numPr>
        <w:rPr>
          <w:rFonts w:ascii="Arial" w:cs="Arial" w:eastAsia="Arial" w:hAnsi="Arial"/>
          <w:sz w:val="19"/>
          <w:szCs w:val="19"/>
          <w:color w:val="auto"/>
        </w:rPr>
      </w:pPr>
      <w:r>
        <w:rPr>
          <w:rFonts w:ascii="Arial" w:cs="Arial" w:eastAsia="Arial" w:hAnsi="Arial"/>
          <w:sz w:val="19"/>
          <w:szCs w:val="19"/>
          <w:color w:val="auto"/>
        </w:rPr>
        <w:t>] Transition report pursuant to Section 15(d) of the Securities Exchange Act of 1934 For the transition period from ______ to ______</w:t>
      </w:r>
    </w:p>
    <w:p>
      <w:pPr>
        <w:spacing w:after="0" w:line="1" w:lineRule="exact"/>
        <w:rPr>
          <w:rFonts w:ascii="Arial" w:cs="Arial" w:eastAsia="Arial" w:hAnsi="Arial"/>
          <w:sz w:val="19"/>
          <w:szCs w:val="19"/>
          <w:color w:val="auto"/>
        </w:rPr>
      </w:pPr>
    </w:p>
    <w:p>
      <w:pPr>
        <w:ind w:left="4180"/>
        <w:spacing w:after="0"/>
        <w:rPr>
          <w:rFonts w:ascii="Arial" w:cs="Arial" w:eastAsia="Arial" w:hAnsi="Arial"/>
          <w:sz w:val="19"/>
          <w:szCs w:val="19"/>
          <w:color w:val="auto"/>
        </w:rPr>
      </w:pPr>
      <w:r>
        <w:rPr>
          <w:rFonts w:ascii="Arial" w:cs="Arial" w:eastAsia="Arial" w:hAnsi="Arial"/>
          <w:sz w:val="20"/>
          <w:szCs w:val="20"/>
          <w:color w:val="auto"/>
        </w:rPr>
        <w:t>Commission file number 1-13397</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1300" w:right="1479" w:hanging="968"/>
        <w:spacing w:after="0" w:line="457" w:lineRule="auto"/>
        <w:tabs>
          <w:tab w:leader="none" w:pos="650" w:val="left"/>
        </w:tabs>
        <w:numPr>
          <w:ilvl w:val="1"/>
          <w:numId w:val="2"/>
        </w:numPr>
        <w:rPr>
          <w:rFonts w:ascii="Arial" w:cs="Arial" w:eastAsia="Arial" w:hAnsi="Arial"/>
          <w:sz w:val="20"/>
          <w:szCs w:val="20"/>
          <w:color w:val="auto"/>
        </w:rPr>
      </w:pPr>
      <w:r>
        <w:rPr>
          <w:rFonts w:ascii="Arial" w:cs="Arial" w:eastAsia="Arial" w:hAnsi="Arial"/>
          <w:sz w:val="20"/>
          <w:szCs w:val="20"/>
          <w:color w:val="auto"/>
        </w:rPr>
        <w:t>Full title of the plan and address of the plan, if different from that of the issuer named below: Ingredion Incorporated Retirement Savings Plan for Salaried Employees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1"/>
          <w:numId w:val="2"/>
        </w:numPr>
        <w:rPr>
          <w:rFonts w:ascii="Arial" w:cs="Arial" w:eastAsia="Arial" w:hAnsi="Arial"/>
          <w:sz w:val="19"/>
          <w:szCs w:val="19"/>
          <w:color w:val="auto"/>
        </w:rPr>
      </w:pPr>
      <w:r>
        <w:rPr>
          <w:rFonts w:ascii="Arial" w:cs="Arial" w:eastAsia="Arial" w:hAnsi="Arial"/>
          <w:sz w:val="19"/>
          <w:szCs w:val="19"/>
          <w:color w:val="auto"/>
        </w:rPr>
        <w:t>Name of issuer of the securities held pursuant to the plan and the address of its principal executive office:</w:t>
      </w:r>
    </w:p>
    <w:p>
      <w:pPr>
        <w:spacing w:after="0" w:line="218"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Ingredion Incorporated</w:t>
      </w:r>
    </w:p>
    <w:p>
      <w:pPr>
        <w:ind w:left="1300"/>
        <w:spacing w:after="0" w:line="197" w:lineRule="auto"/>
        <w:rPr>
          <w:sz w:val="20"/>
          <w:szCs w:val="20"/>
          <w:color w:val="auto"/>
        </w:rPr>
      </w:pPr>
      <w:r>
        <w:rPr>
          <w:rFonts w:ascii="Arial" w:cs="Arial" w:eastAsia="Arial" w:hAnsi="Arial"/>
          <w:sz w:val="20"/>
          <w:szCs w:val="20"/>
          <w:color w:val="auto"/>
        </w:rPr>
        <w:t>5 Westbrook Corporate Center</w:t>
      </w:r>
    </w:p>
    <w:p>
      <w:pPr>
        <w:ind w:left="1300"/>
        <w:spacing w:after="0"/>
        <w:rPr>
          <w:sz w:val="20"/>
          <w:szCs w:val="20"/>
          <w:color w:val="auto"/>
        </w:rPr>
      </w:pPr>
      <w:r>
        <w:rPr>
          <w:rFonts w:ascii="Arial" w:cs="Arial" w:eastAsia="Arial" w:hAnsi="Arial"/>
          <w:sz w:val="20"/>
          <w:szCs w:val="20"/>
          <w:color w:val="auto"/>
        </w:rPr>
        <w:t>Westchester, Illinois 60154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INGREDION INCORPORATED</w:t>
      </w:r>
    </w:p>
    <w:p>
      <w:pPr>
        <w:ind w:left="3100"/>
        <w:spacing w:after="0" w:line="203" w:lineRule="auto"/>
        <w:rPr>
          <w:sz w:val="20"/>
          <w:szCs w:val="20"/>
          <w:color w:val="auto"/>
        </w:rPr>
      </w:pPr>
      <w:r>
        <w:rPr>
          <w:rFonts w:ascii="Arial" w:cs="Arial" w:eastAsia="Arial" w:hAnsi="Arial"/>
          <w:sz w:val="18"/>
          <w:szCs w:val="18"/>
          <w:color w:val="auto"/>
        </w:rPr>
        <w:t>RETIREMENT SAVINGS PLAN FOR SALARIED EMPLOYEES</w:t>
      </w:r>
    </w:p>
    <w:p>
      <w:pPr>
        <w:jc w:val="center"/>
        <w:spacing w:after="0"/>
        <w:rPr>
          <w:sz w:val="20"/>
          <w:szCs w:val="20"/>
          <w:color w:val="auto"/>
        </w:rPr>
      </w:pPr>
      <w:r>
        <w:rPr>
          <w:rFonts w:ascii="Arial" w:cs="Arial" w:eastAsia="Arial" w:hAnsi="Arial"/>
          <w:sz w:val="18"/>
          <w:szCs w:val="18"/>
          <w:color w:val="auto"/>
        </w:rPr>
        <w:t>Westchester, Illinois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w:t>
      </w:r>
    </w:p>
    <w:p>
      <w:pPr>
        <w:jc w:val="center"/>
        <w:spacing w:after="0"/>
        <w:rPr>
          <w:sz w:val="20"/>
          <w:szCs w:val="20"/>
          <w:color w:val="auto"/>
        </w:rPr>
      </w:pPr>
      <w:r>
        <w:rPr>
          <w:rFonts w:ascii="Arial" w:cs="Arial" w:eastAsia="Arial" w:hAnsi="Arial"/>
          <w:sz w:val="18"/>
          <w:szCs w:val="18"/>
          <w:color w:val="auto"/>
        </w:rPr>
        <w:t xml:space="preserve">December 31, 2025 </w:t>
      </w:r>
      <w:r>
        <w:rPr>
          <w:rFonts w:ascii="Arial" w:cs="Arial" w:eastAsia="Arial" w:hAnsi="Arial"/>
          <w:sz w:val="19"/>
          <w:szCs w:val="19"/>
          <w:color w:val="auto"/>
        </w:rPr>
        <w:t>and</w:t>
      </w:r>
      <w:r>
        <w:rPr>
          <w:rFonts w:ascii="Arial" w:cs="Arial" w:eastAsia="Arial" w:hAnsi="Arial"/>
          <w:sz w:val="18"/>
          <w:szCs w:val="18"/>
          <w:color w:val="auto"/>
        </w:rPr>
        <w:t xml:space="preserv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3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880" w:type="dxa"/>
            <w:vAlign w:val="bottom"/>
          </w:tcPr>
          <w:p>
            <w:pPr>
              <w:jc w:val="right"/>
              <w:spacing w:after="0"/>
              <w:rPr>
                <w:sz w:val="20"/>
                <w:szCs w:val="20"/>
                <w:color w:val="auto"/>
              </w:rPr>
            </w:pPr>
            <w:r>
              <w:rPr>
                <w:rFonts w:ascii="Arial" w:cs="Arial" w:eastAsia="Arial" w:hAnsi="Arial"/>
                <w:sz w:val="18"/>
                <w:szCs w:val="18"/>
                <w:color w:val="auto"/>
              </w:rPr>
              <w:t>P. 1</w:t>
            </w:r>
          </w:p>
        </w:tc>
      </w:tr>
      <w:tr>
        <w:trPr>
          <w:trHeight w:val="445"/>
        </w:trPr>
        <w:tc>
          <w:tcPr>
            <w:tcW w:w="930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1880" w:type="dxa"/>
            <w:vAlign w:val="bottom"/>
          </w:tcPr>
          <w:p>
            <w:pPr>
              <w:spacing w:after="0"/>
              <w:rPr>
                <w:sz w:val="24"/>
                <w:szCs w:val="24"/>
                <w:color w:val="auto"/>
              </w:rPr>
            </w:pPr>
          </w:p>
        </w:tc>
      </w:tr>
      <w:tr>
        <w:trPr>
          <w:trHeight w:val="446"/>
        </w:trPr>
        <w:tc>
          <w:tcPr>
            <w:tcW w:w="9300" w:type="dxa"/>
            <w:vAlign w:val="bottom"/>
          </w:tcPr>
          <w:p>
            <w:pPr>
              <w:ind w:left="400"/>
              <w:spacing w:after="0"/>
              <w:rPr>
                <w:sz w:val="20"/>
                <w:szCs w:val="20"/>
                <w:color w:val="auto"/>
              </w:rPr>
            </w:pPr>
            <w:r>
              <w:rPr>
                <w:rFonts w:ascii="Arial" w:cs="Arial" w:eastAsia="Arial" w:hAnsi="Arial"/>
                <w:sz w:val="18"/>
                <w:szCs w:val="18"/>
                <w:color w:val="auto"/>
              </w:rPr>
              <w:t>STATEMENTS OF NET ASSETS AVAILABLE FOR BENEFITS</w:t>
            </w:r>
          </w:p>
        </w:tc>
        <w:tc>
          <w:tcPr>
            <w:tcW w:w="1880" w:type="dxa"/>
            <w:vAlign w:val="bottom"/>
          </w:tcPr>
          <w:p>
            <w:pPr>
              <w:jc w:val="right"/>
              <w:spacing w:after="0"/>
              <w:rPr>
                <w:sz w:val="20"/>
                <w:szCs w:val="20"/>
                <w:color w:val="auto"/>
              </w:rPr>
            </w:pPr>
            <w:r>
              <w:rPr>
                <w:rFonts w:ascii="Arial" w:cs="Arial" w:eastAsia="Arial" w:hAnsi="Arial"/>
                <w:sz w:val="18"/>
                <w:szCs w:val="18"/>
                <w:color w:val="auto"/>
              </w:rPr>
              <w:t>P. 3</w:t>
            </w:r>
          </w:p>
        </w:tc>
      </w:tr>
      <w:tr>
        <w:trPr>
          <w:trHeight w:val="445"/>
        </w:trPr>
        <w:tc>
          <w:tcPr>
            <w:tcW w:w="9300" w:type="dxa"/>
            <w:vAlign w:val="bottom"/>
          </w:tcPr>
          <w:p>
            <w:pPr>
              <w:ind w:left="400"/>
              <w:spacing w:after="0"/>
              <w:rPr>
                <w:sz w:val="20"/>
                <w:szCs w:val="20"/>
                <w:color w:val="auto"/>
              </w:rPr>
            </w:pPr>
            <w:r>
              <w:rPr>
                <w:rFonts w:ascii="Arial" w:cs="Arial" w:eastAsia="Arial" w:hAnsi="Arial"/>
                <w:sz w:val="18"/>
                <w:szCs w:val="18"/>
                <w:color w:val="auto"/>
              </w:rPr>
              <w:t>STATEMENT OF CHANGES IN NET ASSETS AVAILABLE FOR BENEFITS</w:t>
            </w:r>
          </w:p>
        </w:tc>
        <w:tc>
          <w:tcPr>
            <w:tcW w:w="1880" w:type="dxa"/>
            <w:vAlign w:val="bottom"/>
          </w:tcPr>
          <w:p>
            <w:pPr>
              <w:jc w:val="right"/>
              <w:spacing w:after="0"/>
              <w:rPr>
                <w:sz w:val="20"/>
                <w:szCs w:val="20"/>
                <w:color w:val="auto"/>
              </w:rPr>
            </w:pPr>
            <w:r>
              <w:rPr>
                <w:rFonts w:ascii="Arial" w:cs="Arial" w:eastAsia="Arial" w:hAnsi="Arial"/>
                <w:sz w:val="18"/>
                <w:szCs w:val="18"/>
                <w:color w:val="auto"/>
              </w:rPr>
              <w:t>P. 4</w:t>
            </w:r>
          </w:p>
        </w:tc>
      </w:tr>
      <w:tr>
        <w:trPr>
          <w:trHeight w:val="445"/>
        </w:trPr>
        <w:tc>
          <w:tcPr>
            <w:tcW w:w="9300" w:type="dxa"/>
            <w:vAlign w:val="bottom"/>
          </w:tcPr>
          <w:p>
            <w:pPr>
              <w:ind w:left="400"/>
              <w:spacing w:after="0"/>
              <w:rPr>
                <w:sz w:val="20"/>
                <w:szCs w:val="20"/>
                <w:color w:val="auto"/>
              </w:rPr>
            </w:pPr>
            <w:r>
              <w:rPr>
                <w:rFonts w:ascii="Arial" w:cs="Arial" w:eastAsia="Arial" w:hAnsi="Arial"/>
                <w:sz w:val="18"/>
                <w:szCs w:val="18"/>
                <w:color w:val="auto"/>
              </w:rPr>
              <w:t>NOTES TO THE FINANCIAL STATEMENTS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P. 5</w:t>
            </w:r>
          </w:p>
        </w:tc>
      </w:tr>
      <w:tr>
        <w:trPr>
          <w:trHeight w:val="662"/>
        </w:trPr>
        <w:tc>
          <w:tcPr>
            <w:tcW w:w="9300" w:type="dxa"/>
            <w:vAlign w:val="bottom"/>
          </w:tcPr>
          <w:p>
            <w:pPr>
              <w:spacing w:after="0"/>
              <w:rPr>
                <w:sz w:val="20"/>
                <w:szCs w:val="20"/>
                <w:color w:val="auto"/>
              </w:rPr>
            </w:pPr>
            <w:r>
              <w:rPr>
                <w:rFonts w:ascii="Arial" w:cs="Arial" w:eastAsia="Arial" w:hAnsi="Arial"/>
                <w:sz w:val="18"/>
                <w:szCs w:val="18"/>
                <w:color w:val="auto"/>
              </w:rPr>
              <w:t>SUPPLEMENTAL SCHEDULES</w:t>
            </w:r>
          </w:p>
        </w:tc>
        <w:tc>
          <w:tcPr>
            <w:tcW w:w="1880" w:type="dxa"/>
            <w:vAlign w:val="bottom"/>
          </w:tcPr>
          <w:p>
            <w:pPr>
              <w:spacing w:after="0"/>
              <w:rPr>
                <w:sz w:val="24"/>
                <w:szCs w:val="24"/>
                <w:color w:val="auto"/>
              </w:rPr>
            </w:pPr>
          </w:p>
        </w:tc>
      </w:tr>
      <w:tr>
        <w:trPr>
          <w:trHeight w:val="445"/>
        </w:trPr>
        <w:tc>
          <w:tcPr>
            <w:tcW w:w="9300" w:type="dxa"/>
            <w:vAlign w:val="bottom"/>
          </w:tcPr>
          <w:p>
            <w:pPr>
              <w:ind w:left="460"/>
              <w:spacing w:after="0"/>
              <w:rPr>
                <w:sz w:val="20"/>
                <w:szCs w:val="20"/>
                <w:color w:val="auto"/>
              </w:rPr>
            </w:pPr>
            <w:r>
              <w:rPr>
                <w:rFonts w:ascii="Arial" w:cs="Arial" w:eastAsia="Arial" w:hAnsi="Arial"/>
                <w:sz w:val="18"/>
                <w:szCs w:val="18"/>
                <w:color w:val="auto"/>
              </w:rPr>
              <w:t>SCHEDULE H, LINE 4a – SCHEDULE OF DELINQUENT PARTICIPANT CONTRIBUTIONS</w:t>
            </w:r>
          </w:p>
        </w:tc>
        <w:tc>
          <w:tcPr>
            <w:tcW w:w="1880" w:type="dxa"/>
            <w:vAlign w:val="bottom"/>
          </w:tcPr>
          <w:p>
            <w:pPr>
              <w:jc w:val="right"/>
              <w:spacing w:after="0"/>
              <w:rPr>
                <w:sz w:val="20"/>
                <w:szCs w:val="20"/>
                <w:color w:val="auto"/>
              </w:rPr>
            </w:pPr>
            <w:r>
              <w:rPr>
                <w:rFonts w:ascii="Arial" w:cs="Arial" w:eastAsia="Arial" w:hAnsi="Arial"/>
                <w:sz w:val="18"/>
                <w:szCs w:val="18"/>
                <w:color w:val="auto"/>
              </w:rPr>
              <w:t>P. 13</w:t>
            </w:r>
          </w:p>
        </w:tc>
      </w:tr>
      <w:tr>
        <w:trPr>
          <w:trHeight w:val="486"/>
        </w:trPr>
        <w:tc>
          <w:tcPr>
            <w:tcW w:w="9300" w:type="dxa"/>
            <w:vAlign w:val="bottom"/>
          </w:tcPr>
          <w:p>
            <w:pPr>
              <w:ind w:left="400"/>
              <w:spacing w:after="0"/>
              <w:rPr>
                <w:sz w:val="20"/>
                <w:szCs w:val="20"/>
                <w:color w:val="auto"/>
              </w:rPr>
            </w:pPr>
            <w:r>
              <w:rPr>
                <w:rFonts w:ascii="Arial" w:cs="Arial" w:eastAsia="Arial" w:hAnsi="Arial"/>
                <w:sz w:val="18"/>
                <w:szCs w:val="18"/>
                <w:color w:val="auto"/>
              </w:rPr>
              <w:t>SCHEDULE H, LINE 4i – SCHEDULE OF ASSETS (HELD AT END OF YEAR)</w:t>
            </w:r>
          </w:p>
        </w:tc>
        <w:tc>
          <w:tcPr>
            <w:tcW w:w="1880" w:type="dxa"/>
            <w:vAlign w:val="bottom"/>
          </w:tcPr>
          <w:p>
            <w:pPr>
              <w:jc w:val="right"/>
              <w:spacing w:after="0"/>
              <w:rPr>
                <w:sz w:val="20"/>
                <w:szCs w:val="20"/>
                <w:color w:val="auto"/>
              </w:rPr>
            </w:pPr>
            <w:r>
              <w:rPr>
                <w:rFonts w:ascii="Arial" w:cs="Arial" w:eastAsia="Arial" w:hAnsi="Arial"/>
                <w:sz w:val="18"/>
                <w:szCs w:val="18"/>
                <w:color w:val="auto"/>
              </w:rPr>
              <w:t>P. 14</w:t>
            </w:r>
          </w:p>
        </w:tc>
      </w:tr>
    </w:tbl>
    <w:p>
      <w:pPr>
        <w:spacing w:after="0" w:line="207" w:lineRule="exact"/>
        <w:rPr>
          <w:sz w:val="20"/>
          <w:szCs w:val="20"/>
          <w:color w:val="auto"/>
        </w:rPr>
      </w:pPr>
    </w:p>
    <w:p>
      <w:pPr>
        <w:ind w:left="20" w:right="140"/>
        <w:spacing w:after="0"/>
        <w:rPr>
          <w:sz w:val="20"/>
          <w:szCs w:val="20"/>
          <w:color w:val="auto"/>
        </w:rPr>
      </w:pPr>
      <w:r>
        <w:rPr>
          <w:rFonts w:ascii="Arial" w:cs="Arial" w:eastAsia="Arial" w:hAnsi="Arial"/>
          <w:sz w:val="18"/>
          <w:szCs w:val="18"/>
          <w:color w:val="auto"/>
        </w:rPr>
        <w:t>All other schedules required by Section 2520.103-10 of the Department of Labor Rules and Regulations for Reporting and Disclosure under the Employee Retirement Income Security Act of 1974, as amended, have been omitted because they are not applicable.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ind w:left="20"/>
              <w:spacing w:after="0"/>
              <w:rPr>
                <w:sz w:val="20"/>
                <w:szCs w:val="20"/>
                <w:color w:val="auto"/>
              </w:rPr>
            </w:pPr>
            <w:r>
              <w:rPr>
                <w:rFonts w:ascii="Arial" w:cs="Arial" w:eastAsia="Arial" w:hAnsi="Arial"/>
                <w:sz w:val="18"/>
                <w:szCs w:val="18"/>
                <w:color w:val="auto"/>
              </w:rPr>
              <w:t>EXHIBIT INDEX</w:t>
            </w:r>
          </w:p>
        </w:tc>
        <w:tc>
          <w:tcPr>
            <w:tcW w:w="5180" w:type="dxa"/>
            <w:vAlign w:val="bottom"/>
          </w:tcPr>
          <w:p>
            <w:pPr>
              <w:ind w:left="4760"/>
              <w:spacing w:after="0"/>
              <w:rPr>
                <w:sz w:val="20"/>
                <w:szCs w:val="20"/>
                <w:color w:val="auto"/>
              </w:rPr>
            </w:pPr>
            <w:r>
              <w:rPr>
                <w:rFonts w:ascii="Arial" w:cs="Arial" w:eastAsia="Arial" w:hAnsi="Arial"/>
                <w:sz w:val="18"/>
                <w:szCs w:val="18"/>
                <w:color w:val="auto"/>
                <w:w w:val="95"/>
              </w:rPr>
              <w:t>P. 15</w:t>
            </w:r>
          </w:p>
        </w:tc>
      </w:tr>
      <w:tr>
        <w:trPr>
          <w:trHeight w:val="432"/>
        </w:trPr>
        <w:tc>
          <w:tcPr>
            <w:tcW w:w="606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5180" w:type="dxa"/>
            <w:vAlign w:val="bottom"/>
          </w:tcPr>
          <w:p>
            <w:pPr>
              <w:ind w:left="4760"/>
              <w:spacing w:after="0"/>
              <w:rPr>
                <w:sz w:val="20"/>
                <w:szCs w:val="20"/>
                <w:color w:val="auto"/>
              </w:rPr>
            </w:pPr>
            <w:r>
              <w:rPr>
                <w:rFonts w:ascii="Arial" w:cs="Arial" w:eastAsia="Arial" w:hAnsi="Arial"/>
                <w:sz w:val="18"/>
                <w:szCs w:val="18"/>
                <w:color w:val="auto"/>
                <w:w w:val="95"/>
              </w:rPr>
              <w:t>P. 16</w:t>
            </w:r>
          </w:p>
        </w:tc>
      </w:tr>
      <w:tr>
        <w:trPr>
          <w:trHeight w:val="2069"/>
        </w:trPr>
        <w:tc>
          <w:tcPr>
            <w:tcW w:w="60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1414780</wp:posOffset>
            </wp:positionV>
            <wp:extent cx="442341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Plan Participants and Benefits Committee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Ingredion Incorporated Retirement Savings Plan for Salaried Employees</w:t>
      </w:r>
    </w:p>
    <w:p>
      <w:pPr>
        <w:spacing w:after="0"/>
        <w:rPr>
          <w:sz w:val="20"/>
          <w:szCs w:val="20"/>
          <w:color w:val="auto"/>
        </w:rPr>
      </w:pPr>
      <w:r>
        <w:rPr>
          <w:rFonts w:ascii="Arial" w:cs="Arial" w:eastAsia="Arial" w:hAnsi="Arial"/>
          <w:sz w:val="18"/>
          <w:szCs w:val="18"/>
          <w:color w:val="auto"/>
        </w:rPr>
        <w:t>Westchester, Illinois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audited the accompanying statements of net assets available for benefits of the Ingredion Incorporated Retirement Savings Plan for Salaried Employees (the "Plan") as of December 31, 2025 and 2024, the related statement of changes in net assets available for benefits for the year ended December 31, 2025, and the related notes (collectively referred to as the "financial statements"). In our opinion, the financial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statements present fairly, in all material respects, the net assets available for benefits of the Plan as of December 31, 2025 and 2024, and the changes in net assets available for benefits for the year ended December 31, 2025, in conformity with accounting principles generally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accepted in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32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3" w:lineRule="exact"/>
        <w:rPr>
          <w:sz w:val="20"/>
          <w:szCs w:val="20"/>
          <w:color w:val="auto"/>
        </w:rPr>
      </w:pPr>
    </w:p>
    <w:p>
      <w:pPr>
        <w:jc w:val="both"/>
        <w:ind w:right="160"/>
        <w:spacing w:after="0" w:line="21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2" w:lineRule="exact"/>
        <w:rPr>
          <w:sz w:val="20"/>
          <w:szCs w:val="20"/>
          <w:color w:val="auto"/>
        </w:rPr>
      </w:pPr>
    </w:p>
    <w:p>
      <w:pPr>
        <w:ind w:right="620"/>
        <w:spacing w:after="0" w:line="229"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853"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Schedule H, Line 4a – Schedule of Delinquent Participant Contributions for the year</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ended December 31, 2025 and Schedule H, Line 4i – Schedule of Assets (Held at End of Year) as of December 31, 2025 have been subjected to audit procedures performed in conjunction with the audit of the Ingredion Incorporated Retirement Savings Plan for Salaried Employees financial statements. The supplemental schedules are the responsibility of the Plan’s management. Our audit procedures included determining whether the information presented in the supplemental schedules reconciles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/s/Crowe LLP</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Crowe LLP</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South Bend, Indiana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06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Net Assets Available for Benefits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2025</w:t>
            </w:r>
          </w:p>
        </w:tc>
        <w:tc>
          <w:tcPr>
            <w:tcW w:w="200" w:type="dxa"/>
            <w:vAlign w:val="bottom"/>
          </w:tcPr>
          <w:p>
            <w:pPr>
              <w:spacing w:after="0"/>
              <w:rPr>
                <w:sz w:val="20"/>
                <w:szCs w:val="20"/>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 2024</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656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Master Trust – at fair value (Notes 2 and 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697,288,290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641,618,161</w:t>
            </w:r>
          </w:p>
        </w:tc>
      </w:tr>
      <w:tr>
        <w:trPr>
          <w:trHeight w:val="230"/>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Employer Contributions</w:t>
            </w: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1,481,267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1,132,017</w:t>
            </w:r>
          </w:p>
        </w:tc>
      </w:tr>
      <w:tr>
        <w:trPr>
          <w:trHeight w:val="229"/>
        </w:trPr>
        <w:tc>
          <w:tcPr>
            <w:tcW w:w="20" w:type="dxa"/>
            <w:vAlign w:val="bottom"/>
          </w:tcPr>
          <w:p>
            <w:pPr>
              <w:spacing w:after="0"/>
              <w:rPr>
                <w:sz w:val="19"/>
                <w:szCs w:val="19"/>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Participant Contributions</w:t>
            </w:r>
          </w:p>
        </w:tc>
        <w:tc>
          <w:tcPr>
            <w:tcW w:w="20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684,852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1,335,739</w:t>
            </w: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Notes receivable from participants</w:t>
            </w: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7,118,307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6,823,546</w:t>
            </w: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706,572,716</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650,909,463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Year ended December 31, 2025</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gain from Master Trust (Notes 2 and 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93,656,894</w:t>
            </w:r>
          </w:p>
        </w:tc>
      </w:tr>
      <w:tr>
        <w:trPr>
          <w:trHeight w:val="229"/>
        </w:trPr>
        <w:tc>
          <w:tcPr>
            <w:tcW w:w="9300" w:type="dxa"/>
            <w:vAlign w:val="bottom"/>
          </w:tcPr>
          <w:p>
            <w:pPr>
              <w:ind w:left="140"/>
              <w:spacing w:after="0"/>
              <w:rPr>
                <w:sz w:val="20"/>
                <w:szCs w:val="20"/>
                <w:color w:val="auto"/>
              </w:rPr>
            </w:pPr>
            <w:r>
              <w:rPr>
                <w:rFonts w:ascii="Arial" w:cs="Arial" w:eastAsia="Arial" w:hAnsi="Arial"/>
                <w:sz w:val="18"/>
                <w:szCs w:val="18"/>
                <w:color w:val="auto"/>
              </w:rPr>
              <w:t>Interest income on notes receivable from participants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577,622</w:t>
            </w:r>
          </w:p>
        </w:tc>
      </w:tr>
      <w:tr>
        <w:trPr>
          <w:trHeight w:val="270"/>
        </w:trPr>
        <w:tc>
          <w:tcPr>
            <w:tcW w:w="9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9300" w:type="dxa"/>
            <w:vAlign w:val="bottom"/>
          </w:tcPr>
          <w:p>
            <w:pPr>
              <w:ind w:left="140"/>
              <w:spacing w:after="0"/>
              <w:rPr>
                <w:sz w:val="20"/>
                <w:szCs w:val="20"/>
                <w:color w:val="auto"/>
              </w:rPr>
            </w:pPr>
            <w:r>
              <w:rPr>
                <w:rFonts w:ascii="Arial" w:cs="Arial" w:eastAsia="Arial" w:hAnsi="Arial"/>
                <w:sz w:val="18"/>
                <w:szCs w:val="18"/>
                <w:color w:val="auto"/>
              </w:rPr>
              <w:t>Contributions: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20,947,215</w:t>
            </w:r>
          </w:p>
        </w:tc>
      </w:tr>
      <w:tr>
        <w:trPr>
          <w:trHeight w:val="229"/>
        </w:trPr>
        <w:tc>
          <w:tcPr>
            <w:tcW w:w="9300" w:type="dxa"/>
            <w:vAlign w:val="bottom"/>
          </w:tcPr>
          <w:p>
            <w:pPr>
              <w:ind w:left="360"/>
              <w:spacing w:after="0"/>
              <w:rPr>
                <w:sz w:val="20"/>
                <w:szCs w:val="20"/>
                <w:color w:val="auto"/>
              </w:rPr>
            </w:pPr>
            <w:r>
              <w:rPr>
                <w:rFonts w:ascii="Arial" w:cs="Arial" w:eastAsia="Arial" w:hAnsi="Arial"/>
                <w:sz w:val="18"/>
                <w:szCs w:val="18"/>
                <w:color w:val="auto"/>
              </w:rPr>
              <w:t>Participants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25,038,450</w:t>
            </w:r>
          </w:p>
        </w:tc>
      </w:tr>
      <w:tr>
        <w:trPr>
          <w:trHeight w:val="229"/>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Rollover</w:t>
            </w:r>
          </w:p>
        </w:tc>
        <w:tc>
          <w:tcPr>
            <w:tcW w:w="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4,207,154</w:t>
            </w:r>
          </w:p>
        </w:tc>
      </w:tr>
      <w:tr>
        <w:trPr>
          <w:trHeight w:val="223"/>
        </w:trPr>
        <w:tc>
          <w:tcPr>
            <w:tcW w:w="93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contributions</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50,192,819</w:t>
            </w:r>
          </w:p>
        </w:tc>
      </w:tr>
      <w:tr>
        <w:trPr>
          <w:trHeight w:val="250"/>
        </w:trPr>
        <w:tc>
          <w:tcPr>
            <w:tcW w:w="9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9300" w:type="dxa"/>
            <w:vAlign w:val="bottom"/>
          </w:tcPr>
          <w:p>
            <w:pPr>
              <w:ind w:left="780"/>
              <w:spacing w:after="0"/>
              <w:rPr>
                <w:sz w:val="20"/>
                <w:szCs w:val="20"/>
                <w:color w:val="auto"/>
              </w:rPr>
            </w:pPr>
            <w:r>
              <w:rPr>
                <w:rFonts w:ascii="Arial" w:cs="Arial" w:eastAsia="Arial" w:hAnsi="Arial"/>
                <w:sz w:val="18"/>
                <w:szCs w:val="18"/>
                <w:color w:val="auto"/>
              </w:rPr>
              <w:t>Total additions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144,427,335</w:t>
            </w:r>
          </w:p>
        </w:tc>
      </w:tr>
      <w:tr>
        <w:trPr>
          <w:trHeight w:val="270"/>
        </w:trPr>
        <w:tc>
          <w:tcPr>
            <w:tcW w:w="9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Deductions from net assets attributed to:</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0"/>
        </w:trPr>
        <w:tc>
          <w:tcPr>
            <w:tcW w:w="9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9300" w:type="dxa"/>
            <w:vAlign w:val="bottom"/>
          </w:tcPr>
          <w:p>
            <w:pPr>
              <w:ind w:left="140"/>
              <w:spacing w:after="0"/>
              <w:rPr>
                <w:sz w:val="20"/>
                <w:szCs w:val="20"/>
                <w:color w:val="auto"/>
              </w:rPr>
            </w:pPr>
            <w:r>
              <w:rPr>
                <w:rFonts w:ascii="Arial" w:cs="Arial" w:eastAsia="Arial" w:hAnsi="Arial"/>
                <w:sz w:val="18"/>
                <w:szCs w:val="18"/>
                <w:color w:val="auto"/>
              </w:rPr>
              <w:t>Distributions to participants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88,830,189</w:t>
            </w:r>
          </w:p>
        </w:tc>
      </w:tr>
      <w:tr>
        <w:trPr>
          <w:trHeight w:val="230"/>
        </w:trPr>
        <w:tc>
          <w:tcPr>
            <w:tcW w:w="9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284,112</w:t>
            </w:r>
          </w:p>
        </w:tc>
      </w:tr>
      <w:tr>
        <w:trPr>
          <w:trHeight w:val="250"/>
        </w:trPr>
        <w:tc>
          <w:tcPr>
            <w:tcW w:w="9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93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deductions</w:t>
            </w:r>
          </w:p>
        </w:tc>
        <w:tc>
          <w:tcPr>
            <w:tcW w:w="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89,114,301</w:t>
            </w:r>
          </w:p>
        </w:tc>
      </w:tr>
      <w:tr>
        <w:trPr>
          <w:trHeight w:val="250"/>
        </w:trPr>
        <w:tc>
          <w:tcPr>
            <w:tcW w:w="9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before transfers</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55,313,034</w:t>
            </w:r>
          </w:p>
        </w:tc>
      </w:tr>
      <w:tr>
        <w:trPr>
          <w:trHeight w:val="270"/>
        </w:trPr>
        <w:tc>
          <w:tcPr>
            <w:tcW w:w="9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to the Plan (Note 7)</w:t>
            </w:r>
          </w:p>
        </w:tc>
        <w:tc>
          <w:tcPr>
            <w:tcW w:w="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350,219</w:t>
            </w:r>
          </w:p>
        </w:tc>
      </w:tr>
      <w:tr>
        <w:trPr>
          <w:trHeight w:val="250"/>
        </w:trPr>
        <w:tc>
          <w:tcPr>
            <w:tcW w:w="9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55,663,253</w:t>
            </w:r>
          </w:p>
        </w:tc>
      </w:tr>
      <w:tr>
        <w:trPr>
          <w:trHeight w:val="270"/>
        </w:trPr>
        <w:tc>
          <w:tcPr>
            <w:tcW w:w="9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beginning of year</w:t>
            </w:r>
          </w:p>
        </w:tc>
        <w:tc>
          <w:tcPr>
            <w:tcW w:w="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650,909,463</w:t>
            </w:r>
          </w:p>
        </w:tc>
      </w:tr>
      <w:tr>
        <w:trPr>
          <w:trHeight w:val="250"/>
        </w:trPr>
        <w:tc>
          <w:tcPr>
            <w:tcW w:w="9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706,572,716</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Financial Statements</w:t>
      </w:r>
    </w:p>
    <w:p>
      <w:pPr>
        <w:jc w:val="center"/>
        <w:spacing w:after="0"/>
        <w:rPr>
          <w:sz w:val="20"/>
          <w:szCs w:val="20"/>
          <w:color w:val="auto"/>
        </w:rPr>
      </w:pPr>
      <w:r>
        <w:rPr>
          <w:rFonts w:ascii="Arial" w:cs="Arial" w:eastAsia="Arial" w:hAnsi="Arial"/>
          <w:sz w:val="18"/>
          <w:szCs w:val="18"/>
          <w:b w:val="1"/>
          <w:bCs w:val="1"/>
          <w:color w:val="auto"/>
        </w:rPr>
        <w:t>December 31, 2025</w:t>
      </w:r>
    </w:p>
    <w:p>
      <w:pPr>
        <w:spacing w:after="0" w:line="207" w:lineRule="exact"/>
        <w:rPr>
          <w:sz w:val="20"/>
          <w:szCs w:val="20"/>
          <w:color w:val="auto"/>
        </w:rPr>
      </w:pPr>
    </w:p>
    <w:p>
      <w:pPr>
        <w:ind w:left="340" w:right="9300" w:hanging="332"/>
        <w:spacing w:after="0" w:line="485" w:lineRule="auto"/>
        <w:tabs>
          <w:tab w:leader="none" w:pos="3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General</w:t>
      </w:r>
    </w:p>
    <w:p>
      <w:pPr>
        <w:ind w:left="340"/>
        <w:spacing w:after="0"/>
        <w:rPr>
          <w:sz w:val="20"/>
          <w:szCs w:val="20"/>
          <w:color w:val="auto"/>
        </w:rPr>
      </w:pPr>
      <w:r>
        <w:rPr>
          <w:rFonts w:ascii="Arial" w:cs="Arial" w:eastAsia="Arial" w:hAnsi="Arial"/>
          <w:sz w:val="18"/>
          <w:szCs w:val="18"/>
          <w:color w:val="auto"/>
        </w:rPr>
        <w:t>The following brief description of the Ingredion Incorporated Retirement Savings Plan for Salaried Employees (the “Plan”) is provided for</w:t>
      </w:r>
    </w:p>
    <w:p>
      <w:pPr>
        <w:jc w:val="both"/>
        <w:ind w:left="340"/>
        <w:spacing w:after="0" w:line="208" w:lineRule="auto"/>
        <w:rPr>
          <w:sz w:val="20"/>
          <w:szCs w:val="20"/>
          <w:color w:val="auto"/>
        </w:rPr>
      </w:pPr>
      <w:r>
        <w:rPr>
          <w:rFonts w:ascii="Arial" w:cs="Arial" w:eastAsia="Arial" w:hAnsi="Arial"/>
          <w:sz w:val="18"/>
          <w:szCs w:val="18"/>
          <w:color w:val="auto"/>
        </w:rPr>
        <w:t>general informational purposes only. Participants should refer to the Plan document or the summary plan description for more complete information. The Plan is a defined contribution plan for the salaried employees of Ingredion Incorporated ("Ingredion" or the "Company") in the United States. The Plan allows employees to set aside part of their compensation for retirement. The Plan is subject to the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provisions of the Employee Retirement Income Security Act of 1974 (ERISA) as amended.</w:t>
      </w:r>
    </w:p>
    <w:p>
      <w:pPr>
        <w:spacing w:after="0" w:line="194" w:lineRule="exact"/>
        <w:rPr>
          <w:sz w:val="20"/>
          <w:szCs w:val="20"/>
          <w:color w:val="auto"/>
        </w:rPr>
      </w:pPr>
    </w:p>
    <w:p>
      <w:pPr>
        <w:jc w:val="both"/>
        <w:ind w:left="340" w:right="20"/>
        <w:spacing w:after="0"/>
        <w:rPr>
          <w:sz w:val="20"/>
          <w:szCs w:val="20"/>
          <w:color w:val="auto"/>
        </w:rPr>
      </w:pPr>
      <w:r>
        <w:rPr>
          <w:rFonts w:ascii="Arial" w:cs="Arial" w:eastAsia="Arial" w:hAnsi="Arial"/>
          <w:sz w:val="18"/>
          <w:szCs w:val="18"/>
          <w:color w:val="auto"/>
        </w:rPr>
        <w:t>The Company maintains the Plan for the benefit of its eligible salaried employees and those eligible salaried employees of its affiliates who adopt the Plan.</w:t>
      </w:r>
    </w:p>
    <w:p>
      <w:pPr>
        <w:spacing w:after="0" w:line="194" w:lineRule="exact"/>
        <w:rPr>
          <w:sz w:val="20"/>
          <w:szCs w:val="20"/>
          <w:color w:val="auto"/>
        </w:rPr>
      </w:pPr>
    </w:p>
    <w:p>
      <w:pPr>
        <w:jc w:val="both"/>
        <w:ind w:left="340" w:right="20"/>
        <w:spacing w:after="0"/>
        <w:rPr>
          <w:sz w:val="20"/>
          <w:szCs w:val="20"/>
          <w:color w:val="auto"/>
        </w:rPr>
      </w:pPr>
      <w:r>
        <w:rPr>
          <w:rFonts w:ascii="Arial" w:cs="Arial" w:eastAsia="Arial" w:hAnsi="Arial"/>
          <w:sz w:val="18"/>
          <w:szCs w:val="18"/>
          <w:color w:val="auto"/>
        </w:rPr>
        <w:t>Fidelity Management Trust Company (the “Trustee”) holds the Plan’s investments and executes investment transactions through the trust established pursuant to the Plan.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 and Vesting</w:t>
      </w:r>
    </w:p>
    <w:p>
      <w:pPr>
        <w:spacing w:after="0" w:line="225" w:lineRule="exact"/>
        <w:rPr>
          <w:sz w:val="20"/>
          <w:szCs w:val="20"/>
          <w:color w:val="auto"/>
        </w:rPr>
      </w:pPr>
    </w:p>
    <w:p>
      <w:pPr>
        <w:jc w:val="both"/>
        <w:ind w:left="340"/>
        <w:spacing w:after="0" w:line="215" w:lineRule="auto"/>
        <w:rPr>
          <w:sz w:val="20"/>
          <w:szCs w:val="20"/>
          <w:color w:val="auto"/>
        </w:rPr>
      </w:pPr>
      <w:r>
        <w:rPr>
          <w:rFonts w:ascii="Arial" w:cs="Arial" w:eastAsia="Arial" w:hAnsi="Arial"/>
          <w:sz w:val="18"/>
          <w:szCs w:val="18"/>
          <w:color w:val="auto"/>
        </w:rPr>
        <w:t>Salaried employees become eligible to contribute to the Plan immediately upon employment. Participants may contribute between 1% and 75% of their gross annual compensation on a before-tax basis, Roth, after-tax basis, or combination of all three, subject to the limits imposed by the Internal Revenue Code ($23,500 for 2025). The Plan also allows for participants age 50 and older to contribute additional</w:t>
      </w:r>
    </w:p>
    <w:p>
      <w:pPr>
        <w:spacing w:after="0" w:line="2" w:lineRule="exact"/>
        <w:rPr>
          <w:sz w:val="20"/>
          <w:szCs w:val="20"/>
          <w:color w:val="auto"/>
        </w:rPr>
      </w:pPr>
    </w:p>
    <w:p>
      <w:pPr>
        <w:jc w:val="both"/>
        <w:ind w:left="340"/>
        <w:spacing w:after="0" w:line="229" w:lineRule="auto"/>
        <w:rPr>
          <w:sz w:val="20"/>
          <w:szCs w:val="20"/>
          <w:color w:val="auto"/>
        </w:rPr>
      </w:pPr>
      <w:r>
        <w:rPr>
          <w:rFonts w:ascii="Arial" w:cs="Arial" w:eastAsia="Arial" w:hAnsi="Arial"/>
          <w:sz w:val="18"/>
          <w:szCs w:val="18"/>
          <w:color w:val="auto"/>
        </w:rPr>
        <w:t>tax-deferred contributions. These catch-up contributions were subject to Internal Revenue Service ("IRS") limits of $7,500 in 2025. The Plan also permits participants to make rollover contributions in accordance with the Internal Revenue Code.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allows for automatic enrollment of participants. Each employee who commences employment, or re-employment, with the</w:t>
      </w:r>
    </w:p>
    <w:p>
      <w:pPr>
        <w:ind w:left="340"/>
        <w:spacing w:after="0" w:line="221" w:lineRule="auto"/>
        <w:rPr>
          <w:sz w:val="20"/>
          <w:szCs w:val="20"/>
          <w:color w:val="auto"/>
        </w:rPr>
      </w:pPr>
      <w:r>
        <w:rPr>
          <w:rFonts w:ascii="Arial" w:cs="Arial" w:eastAsia="Arial" w:hAnsi="Arial"/>
          <w:sz w:val="18"/>
          <w:szCs w:val="18"/>
          <w:color w:val="auto"/>
        </w:rPr>
        <w:t>Company and has not affirmatively elected to participate (or not to participate) in the Plan within 30 days is automatically deemed to have elected to participate in the Plan. Employees who are automatically enrolled in the Plan commence tax-deferred contributions at 6% of their gross annual compensation.</w:t>
      </w:r>
    </w:p>
    <w:p>
      <w:pPr>
        <w:spacing w:after="0" w:line="193"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The Company makes a matching contribution to the Plan of an amount equal to 100% of the first 6% of salary that the employee has elected to contribute. Company contributions are 100% vested after three years of service. Employees hired or rehired after January 1, 2015 are eligible for an additional 3% basic employer contribution to the Plan.</w:t>
      </w:r>
    </w:p>
    <w:p>
      <w:pPr>
        <w:spacing w:after="0" w:line="196"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Participants direct the investment of their contributions and employer contributions into various investment options offered by the Plan. The investment funds under the Plan include collective trust funds, an Ingredion stock fund, and various mutual funds. The Ingredion stock fund is primarily invested in the common stock of the Company and money market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Participant Accounts</w:t>
      </w:r>
    </w:p>
    <w:p>
      <w:pPr>
        <w:spacing w:after="0" w:line="21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Individual account balances are maintained for each participant. Each participant’s account is credited with the participant’s contribution, allocations of the Company’s contributions, Plan gains, and charged with Plan losses as well as an allocation of administrative expenses.</w:t>
      </w:r>
    </w:p>
    <w:p>
      <w:pPr>
        <w:spacing w:after="0" w:line="1" w:lineRule="exact"/>
        <w:rPr>
          <w:sz w:val="20"/>
          <w:szCs w:val="20"/>
          <w:color w:val="auto"/>
        </w:rPr>
      </w:pPr>
    </w:p>
    <w:p>
      <w:pPr>
        <w:jc w:val="both"/>
        <w:ind w:left="340"/>
        <w:spacing w:after="0" w:line="208" w:lineRule="auto"/>
        <w:rPr>
          <w:sz w:val="20"/>
          <w:szCs w:val="20"/>
          <w:color w:val="auto"/>
        </w:rPr>
      </w:pPr>
      <w:r>
        <w:rPr>
          <w:rFonts w:ascii="Arial" w:cs="Arial" w:eastAsia="Arial" w:hAnsi="Arial"/>
          <w:sz w:val="18"/>
          <w:szCs w:val="18"/>
          <w:color w:val="auto"/>
        </w:rPr>
        <w:t>Allocations are based on participant earnings or account balances, as defined. Forfeited balances of terminated participants’ non-vested accounts are used to reduce future Company contributions. As of December 31, 2025 and 2024, the forfeitures were negligible. The benefit to which a participant is entitled is the benefit that can be provided from the participant’s vested account. Participants have a fully</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vested interest in all contributions made by them and in the Plan’s earnings/losses on those contributions at all times.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Participants are permitted to obtain loans from their plan accounts while employed by the Company. In general, the amount of the loan</w:t>
      </w:r>
    </w:p>
    <w:p>
      <w:pPr>
        <w:jc w:val="both"/>
        <w:ind w:left="340"/>
        <w:spacing w:after="0" w:line="221" w:lineRule="auto"/>
        <w:rPr>
          <w:sz w:val="20"/>
          <w:szCs w:val="20"/>
          <w:color w:val="auto"/>
        </w:rPr>
      </w:pPr>
      <w:r>
        <w:rPr>
          <w:rFonts w:ascii="Arial" w:cs="Arial" w:eastAsia="Arial" w:hAnsi="Arial"/>
          <w:sz w:val="17"/>
          <w:szCs w:val="17"/>
          <w:color w:val="auto"/>
        </w:rPr>
        <w:t>may not exceed the lesser of $50,000 reduced by the highest outstanding loan balance in a participant’s vested account during the prior 12-month period, or 50% of their vested account balance. The minimum loan amount is $ 500. Loan transactions are treated as a transfer between the investment funds and the loan fund. The loans bear a rate of interest equal to the prime rate as published by Reuters plus</w:t>
      </w:r>
    </w:p>
    <w:p>
      <w:pPr>
        <w:jc w:val="both"/>
        <w:ind w:left="340"/>
        <w:spacing w:after="0" w:line="221" w:lineRule="auto"/>
        <w:rPr>
          <w:sz w:val="20"/>
          <w:szCs w:val="20"/>
          <w:color w:val="auto"/>
        </w:rPr>
      </w:pPr>
      <w:r>
        <w:rPr>
          <w:rFonts w:ascii="Arial" w:cs="Arial" w:eastAsia="Arial" w:hAnsi="Arial"/>
          <w:sz w:val="18"/>
          <w:szCs w:val="18"/>
          <w:color w:val="auto"/>
        </w:rPr>
        <w:t>one percent as of the last business day of the month prior to the date the loan is requested. Loans are repaid through payroll deductions and repayments are reinvested into the participant’s account according to the current investment election. Current outstanding loans will mature through 2041.</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Payment of Benefits</w:t>
      </w:r>
    </w:p>
    <w:p>
      <w:pPr>
        <w:spacing w:after="0" w:line="21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A participant becomes fully vested in all employer contributions upon death, disability or attaining the age of 65. Upon retirement, death, or termination, the participant’s benefit will generally be paid in a lump sum. Under certain circumstances, participants may withdraw their</w:t>
      </w:r>
    </w:p>
    <w:p>
      <w:pPr>
        <w:spacing w:after="0" w:line="1" w:lineRule="exact"/>
        <w:rPr>
          <w:sz w:val="20"/>
          <w:szCs w:val="20"/>
          <w:color w:val="auto"/>
        </w:rPr>
      </w:pPr>
    </w:p>
    <w:p>
      <w:pPr>
        <w:jc w:val="both"/>
        <w:ind w:left="340" w:right="20"/>
        <w:spacing w:after="0" w:line="229" w:lineRule="auto"/>
        <w:rPr>
          <w:sz w:val="20"/>
          <w:szCs w:val="20"/>
          <w:color w:val="auto"/>
        </w:rPr>
      </w:pPr>
      <w:r>
        <w:rPr>
          <w:rFonts w:ascii="Arial" w:cs="Arial" w:eastAsia="Arial" w:hAnsi="Arial"/>
          <w:sz w:val="18"/>
          <w:szCs w:val="18"/>
          <w:color w:val="auto"/>
        </w:rPr>
        <w:t>before-tax contributions during their employment with the Company. Withdrawals may be made in the event of financial hardship, as defined in the Plan, or after attainment of age 59 ½ years old.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25" w:lineRule="exact"/>
        <w:rPr>
          <w:sz w:val="20"/>
          <w:szCs w:val="20"/>
          <w:color w:val="auto"/>
        </w:rPr>
      </w:pPr>
    </w:p>
    <w:p>
      <w:pPr>
        <w:jc w:val="both"/>
        <w:ind w:left="340" w:right="20"/>
        <w:spacing w:after="0" w:line="227" w:lineRule="auto"/>
        <w:rPr>
          <w:sz w:val="20"/>
          <w:szCs w:val="20"/>
          <w:color w:val="auto"/>
        </w:rPr>
      </w:pPr>
      <w:r>
        <w:rPr>
          <w:rFonts w:ascii="Arial" w:cs="Arial" w:eastAsia="Arial" w:hAnsi="Arial"/>
          <w:sz w:val="18"/>
          <w:szCs w:val="18"/>
          <w:color w:val="auto"/>
        </w:rPr>
        <w:t>Loan origination fees associated with notes receivable are paid by participants and the Plan’s recordkeeping fees are paid by the Plan and are reflected as administrative expenses of the Plan. Certain trustee fees and other administrative expenses are paid by the Company.</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Master Trust</w:t>
      </w:r>
    </w:p>
    <w:p>
      <w:pPr>
        <w:spacing w:after="0" w:line="21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Assets of the Plan are co-invested with the assets of the Ingredion Incorporated Retirement Savings Plan for Hourly Employees sponsored by the Company in a commingled investment known as the Ingredion Incorporated Master Trust (the “Master Trust”) for which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Fidelity Management Trust Company serves as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20" w:lineRule="exact"/>
        <w:rPr>
          <w:sz w:val="20"/>
          <w:szCs w:val="20"/>
          <w:color w:val="auto"/>
        </w:rPr>
      </w:pPr>
    </w:p>
    <w:p>
      <w:pPr>
        <w:ind w:left="340" w:right="7120" w:hanging="332"/>
        <w:spacing w:after="0" w:line="467" w:lineRule="auto"/>
        <w:tabs>
          <w:tab w:leader="none" w:pos="346" w:val="left"/>
        </w:tabs>
        <w:numPr>
          <w:ilvl w:val="0"/>
          <w:numId w:val="4"/>
        </w:numPr>
        <w:rPr>
          <w:rFonts w:ascii="Arial" w:cs="Arial" w:eastAsia="Arial" w:hAnsi="Arial"/>
          <w:sz w:val="20"/>
          <w:szCs w:val="20"/>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340" w:right="20"/>
        <w:spacing w:after="0" w:line="256" w:lineRule="auto"/>
        <w:rPr>
          <w:sz w:val="20"/>
          <w:szCs w:val="20"/>
          <w:color w:val="auto"/>
        </w:rPr>
      </w:pPr>
      <w:r>
        <w:rPr>
          <w:rFonts w:ascii="Arial" w:cs="Arial" w:eastAsia="Arial" w:hAnsi="Arial"/>
          <w:sz w:val="18"/>
          <w:szCs w:val="18"/>
          <w:color w:val="auto"/>
        </w:rPr>
        <w:t>The accompanying financial statements are prepared on the accrual basis of accounting in accordance with U.S. Generally Accepted Accounting Principles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receivable from participants are reported at their unpaid principal balance plus any accrued interest, with no allowance for credit</w:t>
      </w:r>
    </w:p>
    <w:p>
      <w:pPr>
        <w:jc w:val="both"/>
        <w:ind w:left="340" w:right="20"/>
        <w:spacing w:after="0" w:line="229" w:lineRule="auto"/>
        <w:rPr>
          <w:sz w:val="20"/>
          <w:szCs w:val="20"/>
          <w:color w:val="auto"/>
        </w:rPr>
      </w:pPr>
      <w:r>
        <w:rPr>
          <w:rFonts w:ascii="Arial" w:cs="Arial" w:eastAsia="Arial" w:hAnsi="Arial"/>
          <w:sz w:val="18"/>
          <w:szCs w:val="18"/>
          <w:color w:val="auto"/>
        </w:rPr>
        <w:t>losses, as repayments of principal and interest are received through payroll deductions and the notes are collateralized by the participants’ account balances.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of the Plan and Master Trust Investments</w:t>
      </w:r>
    </w:p>
    <w:p>
      <w:pPr>
        <w:spacing w:after="0" w:line="225" w:lineRule="exact"/>
        <w:rPr>
          <w:sz w:val="20"/>
          <w:szCs w:val="20"/>
          <w:color w:val="auto"/>
        </w:rPr>
      </w:pPr>
    </w:p>
    <w:p>
      <w:pPr>
        <w:jc w:val="both"/>
        <w:ind w:left="340"/>
        <w:spacing w:after="0" w:line="215" w:lineRule="auto"/>
        <w:rPr>
          <w:sz w:val="20"/>
          <w:szCs w:val="20"/>
          <w:color w:val="auto"/>
        </w:rPr>
      </w:pPr>
      <w:r>
        <w:rPr>
          <w:rFonts w:ascii="Arial" w:cs="Arial" w:eastAsia="Arial" w:hAnsi="Arial"/>
          <w:sz w:val="18"/>
          <w:szCs w:val="18"/>
          <w:color w:val="auto"/>
        </w:rPr>
        <w:t>Investments of the Plan and the Master Trust are reported at fair value. The Plan’s interest in the Master Trust is reported at estimated fair value based upon the fair values of the underlying investments held within the Master Trust. Each participating plan holds units of participation in the Master Trust. Net assets, investment income (loss), and administrative expenses relating to the Master Trust are</w:t>
      </w:r>
    </w:p>
    <w:p>
      <w:pPr>
        <w:spacing w:after="0" w:line="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allocated to the individual plans based upon their interest in each of the underlying participant-directed investments. Purchases and sales of securities are recorded on a trade-date basis. Interest income is recorded on the accrual basis. Dividends are recorded on the ex-dividend date.</w:t>
      </w:r>
    </w:p>
    <w:p>
      <w:pPr>
        <w:spacing w:after="0" w:line="193"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The Plan’s investment activities as presented in the Statement of Changes in Net Assets Available for Benefits include the net appreciation or depreciation in fair value of investments, which consists of the realized gains or losses on investment sales and the unrealized appreciation or depreciation on investments held at year end.</w:t>
      </w:r>
    </w:p>
    <w:p>
      <w:pPr>
        <w:spacing w:after="0" w:line="196" w:lineRule="exact"/>
        <w:rPr>
          <w:sz w:val="20"/>
          <w:szCs w:val="20"/>
          <w:color w:val="auto"/>
        </w:rPr>
      </w:pPr>
    </w:p>
    <w:p>
      <w:pPr>
        <w:jc w:val="both"/>
        <w:ind w:left="340"/>
        <w:spacing w:after="0" w:line="215" w:lineRule="auto"/>
        <w:rPr>
          <w:sz w:val="20"/>
          <w:szCs w:val="20"/>
          <w:color w:val="auto"/>
        </w:rPr>
      </w:pPr>
      <w:r>
        <w:rPr>
          <w:rFonts w:ascii="Arial" w:cs="Arial" w:eastAsia="Arial" w:hAnsi="Arial"/>
          <w:sz w:val="18"/>
          <w:szCs w:val="18"/>
          <w:color w:val="auto"/>
        </w:rPr>
        <w:t>Fair value is the price that would be received by the Plan for an asset or paid by the Plan to transfer a liability (an exit price) in an orderly transaction between market participants on the measurement date in the Plan’s principal or most advantageous market for the asset or liability. Fair value measurements are determined by maximizing the use of observable inputs and minimizing the use of unobservable</w:t>
      </w:r>
    </w:p>
    <w:p>
      <w:pPr>
        <w:spacing w:after="0" w:line="2"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as follows:</w:t>
      </w:r>
    </w:p>
    <w:p>
      <w:pPr>
        <w:spacing w:after="0" w:line="193" w:lineRule="exact"/>
        <w:rPr>
          <w:sz w:val="20"/>
          <w:szCs w:val="20"/>
          <w:color w:val="auto"/>
        </w:rPr>
      </w:pPr>
    </w:p>
    <w:p>
      <w:pPr>
        <w:ind w:left="980" w:right="20"/>
        <w:spacing w:after="0"/>
        <w:rPr>
          <w:sz w:val="20"/>
          <w:szCs w:val="20"/>
          <w:color w:val="auto"/>
        </w:rPr>
      </w:pPr>
      <w:r>
        <w:rPr>
          <w:rFonts w:ascii="Arial" w:cs="Arial" w:eastAsia="Arial" w:hAnsi="Arial"/>
          <w:sz w:val="18"/>
          <w:szCs w:val="18"/>
          <w:color w:val="auto"/>
        </w:rPr>
        <w:t>Level 1: Quoted prices (unadjusted) for identical assets or liabilities in active markets that the Plan and the Master Trust have the ability to access as of the measurement date.</w:t>
      </w:r>
    </w:p>
    <w:p>
      <w:pPr>
        <w:spacing w:after="0" w:line="180" w:lineRule="exact"/>
        <w:rPr>
          <w:sz w:val="20"/>
          <w:szCs w:val="20"/>
          <w:color w:val="auto"/>
        </w:rPr>
      </w:pPr>
    </w:p>
    <w:p>
      <w:pPr>
        <w:ind w:left="980"/>
        <w:spacing w:after="0" w:line="256"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3: Significant unobservable inputs that reflect the Plan’s and Master Trust’s own assumptions about the assumptions that market participants would use in pricing an asset or liability.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some cases, a valuation technique used to measure fair value may include inputs from multiple levels of the fair value hierarchy. The lowest level of significant input determines the placement of the entire fair value measurement in the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ind w:right="5920" w:firstLine="8"/>
        <w:spacing w:after="0" w:line="522" w:lineRule="auto"/>
        <w:tabs>
          <w:tab w:leader="none" w:pos="2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Valuation of the Plan and Master Trust Investments, continued</w:t>
      </w:r>
    </w:p>
    <w:p>
      <w:pPr>
        <w:jc w:val="both"/>
        <w:ind w:left="340"/>
        <w:spacing w:after="0"/>
        <w:rPr>
          <w:sz w:val="20"/>
          <w:szCs w:val="20"/>
          <w:color w:val="auto"/>
        </w:rPr>
      </w:pPr>
      <w:r>
        <w:rPr>
          <w:rFonts w:ascii="Arial" w:cs="Arial" w:eastAsia="Arial" w:hAnsi="Arial"/>
          <w:sz w:val="18"/>
          <w:szCs w:val="18"/>
          <w:color w:val="auto"/>
        </w:rPr>
        <w:t>The following descriptions of the valuation methods and assumptions used by the Plan and the Master Trust to estimate the fair values of investments apply to investments held directly by the Master Trust.</w:t>
      </w:r>
    </w:p>
    <w:p>
      <w:pPr>
        <w:spacing w:after="0" w:line="194" w:lineRule="exact"/>
        <w:rPr>
          <w:sz w:val="20"/>
          <w:szCs w:val="20"/>
          <w:color w:val="auto"/>
        </w:rPr>
      </w:pPr>
    </w:p>
    <w:p>
      <w:pPr>
        <w:jc w:val="both"/>
        <w:ind w:left="340"/>
        <w:spacing w:after="0"/>
        <w:rPr>
          <w:sz w:val="20"/>
          <w:szCs w:val="20"/>
          <w:color w:val="auto"/>
        </w:rPr>
      </w:pPr>
      <w:r>
        <w:rPr>
          <w:rFonts w:ascii="Arial" w:cs="Arial" w:eastAsia="Arial" w:hAnsi="Arial"/>
          <w:sz w:val="18"/>
          <w:szCs w:val="18"/>
          <w:i w:val="1"/>
          <w:iCs w:val="1"/>
          <w:color w:val="auto"/>
        </w:rPr>
        <w:t>Mutual funds and common stock</w:t>
      </w:r>
      <w:r>
        <w:rPr>
          <w:rFonts w:ascii="Arial" w:cs="Arial" w:eastAsia="Arial" w:hAnsi="Arial"/>
          <w:sz w:val="18"/>
          <w:szCs w:val="18"/>
          <w:color w:val="auto"/>
        </w:rPr>
        <w:t>: The fair values of mutual fund investments and common stock are determined by obtaining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on nationally recognized securities exchanges (Level 1 inputs).</w:t>
      </w:r>
    </w:p>
    <w:p>
      <w:pPr>
        <w:spacing w:after="0" w:line="180"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i w:val="1"/>
          <w:iCs w:val="1"/>
          <w:color w:val="auto"/>
        </w:rPr>
        <w:t>Money market mutual funds</w:t>
      </w:r>
      <w:r>
        <w:rPr>
          <w:rFonts w:ascii="Arial" w:cs="Arial" w:eastAsia="Arial" w:hAnsi="Arial"/>
          <w:sz w:val="18"/>
          <w:szCs w:val="18"/>
          <w:color w:val="auto"/>
        </w:rPr>
        <w:t>: The fair value of the money market mutual fund investment is determined using significant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other than level 1 prices (Level 2 inputs).</w:t>
      </w:r>
    </w:p>
    <w:p>
      <w:pPr>
        <w:spacing w:after="0" w:line="166" w:lineRule="exact"/>
        <w:rPr>
          <w:sz w:val="20"/>
          <w:szCs w:val="20"/>
          <w:color w:val="auto"/>
        </w:rPr>
      </w:pPr>
    </w:p>
    <w:p>
      <w:pPr>
        <w:jc w:val="both"/>
        <w:ind w:left="340"/>
        <w:spacing w:after="0"/>
        <w:rPr>
          <w:sz w:val="20"/>
          <w:szCs w:val="20"/>
          <w:color w:val="auto"/>
        </w:rPr>
      </w:pPr>
      <w:r>
        <w:rPr>
          <w:rFonts w:ascii="Arial" w:cs="Arial" w:eastAsia="Arial" w:hAnsi="Arial"/>
          <w:sz w:val="18"/>
          <w:szCs w:val="18"/>
          <w:i w:val="1"/>
          <w:iCs w:val="1"/>
          <w:color w:val="auto"/>
        </w:rPr>
        <w:t>Collective trusts</w:t>
      </w:r>
      <w:r>
        <w:rPr>
          <w:rFonts w:ascii="Arial" w:cs="Arial" w:eastAsia="Arial" w:hAnsi="Arial"/>
          <w:sz w:val="18"/>
          <w:szCs w:val="18"/>
          <w:color w:val="auto"/>
        </w:rPr>
        <w:t>: The fair value of the collective trust investments is determined using significant observable inputs other than level 1</w:t>
      </w:r>
      <w:r>
        <w:rPr>
          <w:rFonts w:ascii="Arial" w:cs="Arial" w:eastAsia="Arial" w:hAnsi="Arial"/>
          <w:sz w:val="18"/>
          <w:szCs w:val="18"/>
          <w:i w:val="1"/>
          <w:iCs w:val="1"/>
          <w:color w:val="auto"/>
        </w:rPr>
        <w:t xml:space="preserve"> </w:t>
      </w:r>
      <w:r>
        <w:rPr>
          <w:rFonts w:ascii="Arial" w:cs="Arial" w:eastAsia="Arial" w:hAnsi="Arial"/>
          <w:sz w:val="18"/>
          <w:szCs w:val="18"/>
          <w:color w:val="auto"/>
        </w:rPr>
        <w:t>prices (Level 2 inputs) or net asset value.</w:t>
      </w:r>
    </w:p>
    <w:p>
      <w:pPr>
        <w:spacing w:after="0" w:line="194"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i w:val="1"/>
          <w:iCs w:val="1"/>
          <w:color w:val="auto"/>
        </w:rPr>
        <w:t>Investments measured at net asset value</w:t>
      </w:r>
      <w:r>
        <w:rPr>
          <w:rFonts w:ascii="Arial" w:cs="Arial" w:eastAsia="Arial" w:hAnsi="Arial"/>
          <w:sz w:val="18"/>
          <w:szCs w:val="18"/>
          <w:color w:val="auto"/>
        </w:rPr>
        <w:t>: The fair value of participation units held in certain collective trust funds is based on their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 values as reported by the Trustee. Trust units may be redeemed on a daily basis to meet benefit payments and other participant-initiated withdrawals permitted by retirement plans invested in the trust.</w:t>
      </w:r>
    </w:p>
    <w:p>
      <w:pPr>
        <w:spacing w:after="0" w:line="196"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Under the terms of the Declaration of Trust, retirement plans invested in the stable value collective trust funds are required to provide either 12 or 30 months’ advance notice to the Trustee prior to redemption of trust units; the notice period may be shortened or waived by the Trustee in its sole discretion.</w:t>
      </w:r>
    </w:p>
    <w:p>
      <w:pPr>
        <w:spacing w:after="0" w:line="196"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Under the terms of the Declaration of Trust, retirement plans invested in the life cycle collective trust funds are required to provide up to 30 days' advance notice to the Trustee prior to redemption of trust units; the notice period may be shortened or waived by the Trustee in its sole discretion.</w:t>
      </w:r>
    </w:p>
    <w:p>
      <w:pPr>
        <w:spacing w:after="0" w:line="196" w:lineRule="exact"/>
        <w:rPr>
          <w:sz w:val="20"/>
          <w:szCs w:val="20"/>
          <w:color w:val="auto"/>
        </w:rPr>
      </w:pPr>
    </w:p>
    <w:p>
      <w:pPr>
        <w:jc w:val="both"/>
        <w:ind w:left="340"/>
        <w:spacing w:after="0" w:line="215"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w:t>
      </w:r>
    </w:p>
    <w:p>
      <w:pPr>
        <w:spacing w:after="0" w:line="2" w:lineRule="exact"/>
        <w:rPr>
          <w:sz w:val="20"/>
          <w:szCs w:val="20"/>
          <w:color w:val="auto"/>
        </w:rPr>
      </w:pPr>
    </w:p>
    <w:p>
      <w:pPr>
        <w:jc w:val="both"/>
        <w:ind w:left="340"/>
        <w:spacing w:after="0" w:line="229" w:lineRule="auto"/>
        <w:rPr>
          <w:sz w:val="20"/>
          <w:szCs w:val="20"/>
          <w:color w:val="auto"/>
        </w:rPr>
      </w:pPr>
      <w:r>
        <w:rPr>
          <w:rFonts w:ascii="Arial" w:cs="Arial" w:eastAsia="Arial" w:hAnsi="Arial"/>
          <w:sz w:val="18"/>
          <w:szCs w:val="18"/>
          <w:color w:val="auto"/>
        </w:rPr>
        <w:t>or assumptions to determine the fair value of certain financial instruments could result in a different fair value measurement at the reporting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left="340"/>
        <w:spacing w:after="0" w:line="213" w:lineRule="auto"/>
        <w:rPr>
          <w:sz w:val="20"/>
          <w:szCs w:val="20"/>
          <w:color w:val="auto"/>
        </w:rPr>
      </w:pPr>
      <w:r>
        <w:rPr>
          <w:rFonts w:ascii="Arial" w:cs="Arial" w:eastAsia="Arial" w:hAnsi="Arial"/>
          <w:sz w:val="18"/>
          <w:szCs w:val="18"/>
          <w:color w:val="auto"/>
        </w:rPr>
        <w:t>The preparation of financial statements in conformity with GAAP requires the Plan administrator to make estimates and assumptions that affect the reported amounts of assets and liabilities and disclosure</w:t>
      </w:r>
    </w:p>
    <w:p>
      <w:pPr>
        <w:spacing w:after="0" w:line="2" w:lineRule="exact"/>
        <w:rPr>
          <w:sz w:val="20"/>
          <w:szCs w:val="20"/>
          <w:color w:val="auto"/>
        </w:rPr>
      </w:pPr>
    </w:p>
    <w:p>
      <w:pPr>
        <w:jc w:val="both"/>
        <w:ind w:left="340" w:right="20"/>
        <w:spacing w:after="0" w:line="237" w:lineRule="auto"/>
        <w:rPr>
          <w:sz w:val="20"/>
          <w:szCs w:val="20"/>
          <w:color w:val="auto"/>
        </w:rPr>
      </w:pPr>
      <w:r>
        <w:rPr>
          <w:rFonts w:ascii="Arial" w:cs="Arial" w:eastAsia="Arial" w:hAnsi="Arial"/>
          <w:sz w:val="18"/>
          <w:szCs w:val="18"/>
          <w:color w:val="auto"/>
        </w:rPr>
        <w:t>of contingent assets and liabilities at the date of the financial statements and the reported amounts of changes in net assets available for benefits during the reporting period. Actual results could differ from those estimates.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and Uncertainties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 the Master Trust, the Plan allows participants to direct the investment of their account balances in a number of funds that invest</w:t>
      </w:r>
    </w:p>
    <w:p>
      <w:pPr>
        <w:jc w:val="both"/>
        <w:ind w:left="340"/>
        <w:spacing w:after="0" w:line="221" w:lineRule="auto"/>
        <w:rPr>
          <w:sz w:val="20"/>
          <w:szCs w:val="20"/>
          <w:color w:val="auto"/>
        </w:rPr>
      </w:pPr>
      <w:r>
        <w:rPr>
          <w:rFonts w:ascii="Arial" w:cs="Arial" w:eastAsia="Arial" w:hAnsi="Arial"/>
          <w:sz w:val="18"/>
          <w:szCs w:val="18"/>
          <w:color w:val="auto"/>
        </w:rPr>
        <w:t>in collective trust funds, stocks, mutual funds and other investments. The values of certain investments are exposed to risks from a variety of factors, such as liquidity, changes in interest rates, fluctuations in market conditions and changes in the credit standing of issuers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940"/>
        <w:spacing w:after="0"/>
        <w:rPr>
          <w:sz w:val="20"/>
          <w:szCs w:val="20"/>
          <w:color w:val="auto"/>
        </w:rPr>
      </w:pPr>
      <w:r>
        <w:rPr>
          <w:rFonts w:ascii="Arial" w:cs="Arial" w:eastAsia="Arial" w:hAnsi="Arial"/>
          <w:sz w:val="16"/>
          <w:szCs w:val="16"/>
          <w:color w:val="auto"/>
        </w:rPr>
        <w:t>P.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ind w:right="6300" w:firstLine="8"/>
        <w:spacing w:after="0" w:line="493"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Risks and Uncertainties, continued</w:t>
      </w:r>
    </w:p>
    <w:p>
      <w:pPr>
        <w:ind w:left="340"/>
        <w:spacing w:after="0" w:line="221" w:lineRule="auto"/>
        <w:rPr>
          <w:sz w:val="20"/>
          <w:szCs w:val="20"/>
          <w:color w:val="auto"/>
        </w:rPr>
      </w:pPr>
      <w:r>
        <w:rPr>
          <w:rFonts w:ascii="Arial" w:cs="Arial" w:eastAsia="Arial" w:hAnsi="Arial"/>
          <w:sz w:val="18"/>
          <w:szCs w:val="18"/>
          <w:color w:val="auto"/>
        </w:rPr>
        <w:t>Due to the level of risk associated with certain investments and the sensitivity of certain fair value estimates to changes in valuation assumptions, it is at least reasonably possible that changes in the fair values of investments will occur in the near term and that such</w:t>
      </w:r>
    </w:p>
    <w:p>
      <w:pPr>
        <w:spacing w:after="0" w:line="1" w:lineRule="exact"/>
        <w:rPr>
          <w:sz w:val="20"/>
          <w:szCs w:val="20"/>
          <w:color w:val="auto"/>
        </w:rPr>
      </w:pPr>
    </w:p>
    <w:p>
      <w:pPr>
        <w:ind w:left="340"/>
        <w:spacing w:after="0" w:line="229" w:lineRule="auto"/>
        <w:rPr>
          <w:sz w:val="20"/>
          <w:szCs w:val="20"/>
          <w:color w:val="auto"/>
        </w:rPr>
      </w:pPr>
      <w:r>
        <w:rPr>
          <w:rFonts w:ascii="Arial" w:cs="Arial" w:eastAsia="Arial" w:hAnsi="Arial"/>
          <w:sz w:val="18"/>
          <w:szCs w:val="18"/>
          <w:color w:val="auto"/>
        </w:rPr>
        <w:t>changes could materially affect participants’ account balances and the amounts reported in the Statement of Net Assets Available for Benefits.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Payment of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Benefits are recorded when paid.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Master Trust Investments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assets of the Master Trust and the Plan’s interest in the Master Trust as of December 31, 2025 and 2024 were: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9"/>
              </w:rPr>
              <w:t>2025</w:t>
            </w:r>
          </w:p>
        </w:tc>
        <w:tc>
          <w:tcPr>
            <w:tcW w:w="1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4"/>
              </w:rPr>
              <w:t>2024</w:t>
            </w:r>
          </w:p>
        </w:tc>
        <w:tc>
          <w:tcPr>
            <w:tcW w:w="1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150"/>
              <w:spacing w:after="0"/>
              <w:rPr>
                <w:sz w:val="20"/>
                <w:szCs w:val="20"/>
                <w:color w:val="auto"/>
              </w:rPr>
            </w:pPr>
            <w:r>
              <w:rPr>
                <w:rFonts w:ascii="Arial" w:cs="Arial" w:eastAsia="Arial" w:hAnsi="Arial"/>
                <w:sz w:val="18"/>
                <w:szCs w:val="18"/>
                <w:color w:val="auto"/>
              </w:rPr>
              <w:t>Master Trust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Arial" w:cs="Arial" w:eastAsia="Arial" w:hAnsi="Arial"/>
                <w:sz w:val="18"/>
                <w:szCs w:val="18"/>
                <w:color w:val="auto"/>
              </w:rPr>
              <w:t>Plan's Interest in</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color w:val="auto"/>
              </w:rPr>
              <w:t>Master Trust</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spacing w:after="0" w:line="169" w:lineRule="exact"/>
              <w:rPr>
                <w:sz w:val="20"/>
                <w:szCs w:val="20"/>
                <w:color w:val="auto"/>
              </w:rPr>
            </w:pPr>
            <w:r>
              <w:rPr>
                <w:rFonts w:ascii="Arial" w:cs="Arial" w:eastAsia="Arial" w:hAnsi="Arial"/>
                <w:sz w:val="18"/>
                <w:szCs w:val="18"/>
                <w:color w:val="auto"/>
                <w:w w:val="99"/>
              </w:rPr>
              <w:t>Plan's Interest in</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8"/>
              </w:rPr>
              <w:t>Master Trust</w:t>
            </w: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8"/>
              </w:rPr>
              <w:t>Master Trust</w:t>
            </w: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Balances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Balances</w:t>
            </w:r>
          </w:p>
        </w:tc>
        <w:tc>
          <w:tcPr>
            <w:tcW w:w="24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Balances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Balances</w:t>
            </w: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60"/>
              <w:spacing w:after="0"/>
              <w:rPr>
                <w:sz w:val="20"/>
                <w:szCs w:val="20"/>
                <w:color w:val="auto"/>
              </w:rPr>
            </w:pPr>
            <w:r>
              <w:rPr>
                <w:rFonts w:ascii="Arial" w:cs="Arial" w:eastAsia="Arial" w:hAnsi="Arial"/>
                <w:sz w:val="18"/>
                <w:szCs w:val="18"/>
                <w:color w:val="auto"/>
              </w:rPr>
              <w:t>Collective trusts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734,736,237</w:t>
            </w:r>
          </w:p>
        </w:tc>
        <w:tc>
          <w:tcPr>
            <w:tcW w:w="6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619,087,468</w:t>
            </w:r>
          </w:p>
        </w:tc>
        <w:tc>
          <w:tcPr>
            <w:tcW w:w="2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512,053,624</w:t>
            </w:r>
          </w:p>
        </w:tc>
        <w:tc>
          <w:tcPr>
            <w:tcW w:w="6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421,564,054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Ingredion common stock</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19,688,733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15,864,071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25,611,171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20,073,575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75,155,264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61,413,159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228,439,096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199,709,502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mutual funds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1,305,218</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923,592</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407,516</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271,030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830,885,452</w:t>
            </w:r>
          </w:p>
        </w:tc>
        <w:tc>
          <w:tcPr>
            <w:tcW w:w="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697,288,290</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766,511,407</w:t>
            </w:r>
          </w:p>
        </w:tc>
        <w:tc>
          <w:tcPr>
            <w:tcW w:w="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641,618,161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color w:val="auto"/>
        </w:rPr>
        <w:t>Net investment income for the Master Trust as well as the Plan’s interest in the Master Trust income for the year ended December 31, 2025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vMerge w:val="restart"/>
          </w:tcPr>
          <w:p>
            <w:pPr>
              <w:ind w:left="220"/>
              <w:spacing w:after="0"/>
              <w:rPr>
                <w:sz w:val="20"/>
                <w:szCs w:val="20"/>
                <w:color w:val="auto"/>
              </w:rPr>
            </w:pPr>
            <w:r>
              <w:rPr>
                <w:rFonts w:ascii="Arial" w:cs="Arial" w:eastAsia="Arial" w:hAnsi="Arial"/>
                <w:sz w:val="18"/>
                <w:szCs w:val="18"/>
                <w:color w:val="auto"/>
              </w:rPr>
              <w:t>Master Trust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Plan's Interest in Master</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750"/>
              <w:spacing w:after="0"/>
              <w:rPr>
                <w:sz w:val="20"/>
                <w:szCs w:val="20"/>
                <w:color w:val="auto"/>
              </w:rPr>
            </w:pPr>
            <w:r>
              <w:rPr>
                <w:rFonts w:ascii="Arial" w:cs="Arial" w:eastAsia="Arial" w:hAnsi="Arial"/>
                <w:sz w:val="18"/>
                <w:szCs w:val="18"/>
                <w:color w:val="auto"/>
              </w:rPr>
              <w:t>Trust</w:t>
            </w:r>
          </w:p>
        </w:tc>
        <w:tc>
          <w:tcPr>
            <w:tcW w:w="0" w:type="dxa"/>
            <w:vAlign w:val="bottom"/>
          </w:tcPr>
          <w:p>
            <w:pPr>
              <w:spacing w:after="0"/>
              <w:rPr>
                <w:sz w:val="1"/>
                <w:szCs w:val="1"/>
                <w:color w:val="auto"/>
              </w:rPr>
            </w:pPr>
          </w:p>
        </w:tc>
      </w:tr>
      <w:tr>
        <w:trPr>
          <w:trHeight w:val="223"/>
        </w:trPr>
        <w:tc>
          <w:tcPr>
            <w:tcW w:w="6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appreciation in fair value of investments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101,888,520</w:t>
            </w:r>
          </w:p>
        </w:tc>
        <w:tc>
          <w:tcPr>
            <w:tcW w:w="2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87,174,423</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and interest income</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8,028,138</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6,482,471</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Investment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109,916,658</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93,656,894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Master Trust Investments, continued</w:t>
      </w:r>
    </w:p>
    <w:p>
      <w:pPr>
        <w:spacing w:after="0" w:line="225" w:lineRule="exact"/>
        <w:rPr>
          <w:sz w:val="20"/>
          <w:szCs w:val="20"/>
          <w:color w:val="auto"/>
        </w:rPr>
      </w:pPr>
    </w:p>
    <w:p>
      <w:pPr>
        <w:ind w:left="340" w:right="20"/>
        <w:spacing w:after="0"/>
        <w:rPr>
          <w:sz w:val="20"/>
          <w:szCs w:val="20"/>
          <w:color w:val="auto"/>
        </w:rPr>
      </w:pPr>
      <w:r>
        <w:rPr>
          <w:rFonts w:ascii="Arial" w:cs="Arial" w:eastAsia="Arial" w:hAnsi="Arial"/>
          <w:sz w:val="18"/>
          <w:szCs w:val="18"/>
          <w:color w:val="auto"/>
        </w:rPr>
        <w:t>Assets of the Master Trust that are measured at fair value on a recurring basis as of December 31, 2025 and 2024 are summarized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3"/>
          </w:tcPr>
          <w:p>
            <w:pPr>
              <w:ind w:left="220"/>
              <w:spacing w:after="0"/>
              <w:rPr>
                <w:sz w:val="20"/>
                <w:szCs w:val="20"/>
                <w:color w:val="auto"/>
              </w:rPr>
            </w:pPr>
            <w:r>
              <w:rPr>
                <w:rFonts w:ascii="Arial" w:cs="Arial" w:eastAsia="Arial" w:hAnsi="Arial"/>
                <w:sz w:val="18"/>
                <w:szCs w:val="18"/>
                <w:color w:val="auto"/>
              </w:rPr>
              <w:t>Fair Value Measurements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5"/>
        </w:trPr>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 31, 2025</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Level 2</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75,155,264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75,155,264</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Company common stock</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w w:val="97"/>
              </w:rPr>
              <w:t>19,688,733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19,688,733</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Collective Trusts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117,658,866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117,658,866</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Money market mutual funds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1,305,218</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1,305,218</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in fair value hierarchy</w:t>
            </w: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7"/>
              </w:rPr>
              <w:t>94,843,997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118,964,084</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213,808,081</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Investments measured at net asset value (ᵃ)</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617,077,371</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94,843,997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118,964,084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830,885,452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33"/>
        </w:trPr>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3"/>
          </w:tcPr>
          <w:p>
            <w:pPr>
              <w:ind w:left="200"/>
              <w:spacing w:after="0"/>
              <w:rPr>
                <w:sz w:val="20"/>
                <w:szCs w:val="20"/>
                <w:color w:val="auto"/>
              </w:rPr>
            </w:pPr>
            <w:r>
              <w:rPr>
                <w:rFonts w:ascii="Arial" w:cs="Arial" w:eastAsia="Arial" w:hAnsi="Arial"/>
                <w:sz w:val="18"/>
                <w:szCs w:val="18"/>
                <w:color w:val="auto"/>
              </w:rPr>
              <w:t>Fair Value Measurements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5"/>
        </w:trPr>
        <w:tc>
          <w:tcPr>
            <w:tcW w:w="46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 31, 2024</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Level 2</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228,439,096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228,439,096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Company common stock</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w w:val="97"/>
              </w:rPr>
              <w:t>25,611,171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25,611,171</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Collective Trusts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125,599,317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125,599,317</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Money market mutual funds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407,516</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407,516</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in fair value hierarchy</w:t>
            </w: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254,050,267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126,006,833</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380,057,100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Investments measured at net asset value (ᵃ)</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386,454,307</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254,050,267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126,006,833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766,511,407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660" w:right="360" w:hanging="328"/>
        <w:spacing w:after="0" w:line="227"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investments that were measured at net asset value per share (or its equivalent) as a practical expedient have not been classified in the fair value hierarchy. The fair value amounts presented in this table are intended to permit reconciliation of the fair value hierarchy to the total net assets presented in the Master Trust footnote.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11040" w:hanging="197"/>
        <w:spacing w:after="0"/>
        <w:tabs>
          <w:tab w:leader="none" w:pos="1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INGREDION INCORPORATED RETIREMENT SAVINGS PLAN</w:t>
      </w: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Party in Interest Transactions</w:t>
      </w:r>
    </w:p>
    <w:p>
      <w:pPr>
        <w:spacing w:after="0" w:line="225" w:lineRule="exact"/>
        <w:rPr>
          <w:sz w:val="20"/>
          <w:szCs w:val="20"/>
          <w:color w:val="auto"/>
        </w:rPr>
      </w:pPr>
    </w:p>
    <w:p>
      <w:pPr>
        <w:jc w:val="both"/>
        <w:ind w:left="340"/>
        <w:spacing w:after="0" w:line="215" w:lineRule="auto"/>
        <w:rPr>
          <w:sz w:val="20"/>
          <w:szCs w:val="20"/>
          <w:color w:val="auto"/>
        </w:rPr>
      </w:pPr>
      <w:r>
        <w:rPr>
          <w:rFonts w:ascii="Arial" w:cs="Arial" w:eastAsia="Arial" w:hAnsi="Arial"/>
          <w:sz w:val="18"/>
          <w:szCs w:val="18"/>
          <w:color w:val="auto"/>
        </w:rPr>
        <w:t>Parties in interest are defined under Department of Labor regulations as any fiduciary of the Plan, any party rendering services to the Plan, the Company and certain others. The Plan allows participants to invest their account balances in shares of certain mutual funds or other investments managed by the Trustee or Fidelity Investments. Fidelity Investments is an affiliate of the Trustee; therefore, these</w:t>
      </w:r>
    </w:p>
    <w:p>
      <w:pPr>
        <w:spacing w:after="0" w:line="2" w:lineRule="exact"/>
        <w:rPr>
          <w:sz w:val="20"/>
          <w:szCs w:val="20"/>
          <w:color w:val="auto"/>
        </w:rPr>
      </w:pPr>
    </w:p>
    <w:p>
      <w:pPr>
        <w:jc w:val="both"/>
        <w:ind w:left="340"/>
        <w:spacing w:after="0" w:line="221" w:lineRule="auto"/>
        <w:rPr>
          <w:sz w:val="20"/>
          <w:szCs w:val="20"/>
          <w:color w:val="auto"/>
        </w:rPr>
      </w:pPr>
      <w:r>
        <w:rPr>
          <w:rFonts w:ascii="Arial" w:cs="Arial" w:eastAsia="Arial" w:hAnsi="Arial"/>
          <w:sz w:val="17"/>
          <w:szCs w:val="17"/>
          <w:color w:val="auto"/>
        </w:rPr>
        <w:t>transactions qualify as party-in-interest transactions. For the year ended December 31, 2025, fees were paid by the Plan to an affiliate of the Trustee. Investment management fees are paid by the Plan to investment managers which are parties in interest and these expenses are reflected in the financial statements as a reduction of the return on the Plan’s investments. The Plan also allows participants to take</w:t>
      </w:r>
    </w:p>
    <w:p>
      <w:pPr>
        <w:jc w:val="both"/>
        <w:ind w:left="340"/>
        <w:spacing w:after="0" w:line="229" w:lineRule="auto"/>
        <w:rPr>
          <w:sz w:val="20"/>
          <w:szCs w:val="20"/>
          <w:color w:val="auto"/>
        </w:rPr>
      </w:pPr>
      <w:r>
        <w:rPr>
          <w:rFonts w:ascii="Arial" w:cs="Arial" w:eastAsia="Arial" w:hAnsi="Arial"/>
          <w:sz w:val="18"/>
          <w:szCs w:val="18"/>
          <w:color w:val="auto"/>
        </w:rPr>
        <w:t>loans from their accounts in the Plan. These transactions also qualify as party-in-interest transactions and totaled $7,118,307 and $6,823,546 at December 31, 2025 and 2024,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Master Trust had $19,688,733 and $25,611,171 as of December 31, 2025 and 2024, respectively, in Ingredion Common Stock,</w:t>
      </w:r>
    </w:p>
    <w:p>
      <w:pPr>
        <w:jc w:val="both"/>
        <w:ind w:left="340"/>
        <w:spacing w:after="0" w:line="208" w:lineRule="auto"/>
        <w:rPr>
          <w:sz w:val="20"/>
          <w:szCs w:val="20"/>
          <w:color w:val="auto"/>
        </w:rPr>
      </w:pPr>
      <w:r>
        <w:rPr>
          <w:rFonts w:ascii="Arial" w:cs="Arial" w:eastAsia="Arial" w:hAnsi="Arial"/>
          <w:sz w:val="18"/>
          <w:szCs w:val="18"/>
          <w:color w:val="auto"/>
        </w:rPr>
        <w:t>which is exempt from the party-in-interest transaction prohibitions of ERISA. The Master Trust had 178,566 and 186,182 shares of Ingredion Common Stock as of December 31, 2025 and 2024, respectively. The Master Trust earned $590,736 dividend income from Ingredion Common Stock during the year ended December 31, 2025. These transactions are considered party-in-interest transactions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also qualify as related party transactions as defined by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 Status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IRS has determined and informed the Plan by a letter dated March 3, 2014, that the Plan and related trust were designed in</w:t>
      </w:r>
    </w:p>
    <w:p>
      <w:pPr>
        <w:jc w:val="both"/>
        <w:ind w:left="340"/>
        <w:spacing w:after="0" w:line="208" w:lineRule="auto"/>
        <w:rPr>
          <w:sz w:val="20"/>
          <w:szCs w:val="20"/>
          <w:color w:val="auto"/>
        </w:rPr>
      </w:pPr>
      <w:r>
        <w:rPr>
          <w:rFonts w:ascii="Arial" w:cs="Arial" w:eastAsia="Arial" w:hAnsi="Arial"/>
          <w:sz w:val="18"/>
          <w:szCs w:val="18"/>
          <w:color w:val="auto"/>
        </w:rPr>
        <w:t>accordance with the applicable sections of the Internal Revenue Code (IRC). Although the Plan has been amended and restated since receiving the determination letter, the Plan administrator believes that the Plan is designed, and is currently being operated, in compliance with the applicable requirements of the IRC and, therefore, believes that the Plan is qualified and the related trust is tax-</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exempt.</w:t>
      </w:r>
    </w:p>
    <w:p>
      <w:pPr>
        <w:spacing w:after="0" w:line="194" w:lineRule="exact"/>
        <w:rPr>
          <w:sz w:val="20"/>
          <w:szCs w:val="20"/>
          <w:color w:val="auto"/>
        </w:rPr>
      </w:pPr>
    </w:p>
    <w:p>
      <w:pPr>
        <w:jc w:val="both"/>
        <w:ind w:left="340"/>
        <w:spacing w:after="0" w:line="221"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administrator has analyzed</w:t>
      </w:r>
    </w:p>
    <w:p>
      <w:pPr>
        <w:spacing w:after="0" w:line="1" w:lineRule="exact"/>
        <w:rPr>
          <w:sz w:val="20"/>
          <w:szCs w:val="20"/>
          <w:color w:val="auto"/>
        </w:rPr>
      </w:pPr>
    </w:p>
    <w:p>
      <w:pPr>
        <w:jc w:val="both"/>
        <w:ind w:left="340"/>
        <w:spacing w:after="0" w:line="208" w:lineRule="auto"/>
        <w:rPr>
          <w:sz w:val="20"/>
          <w:szCs w:val="20"/>
          <w:color w:val="auto"/>
        </w:rPr>
      </w:pPr>
      <w:r>
        <w:rPr>
          <w:rFonts w:ascii="Arial" w:cs="Arial" w:eastAsia="Arial" w:hAnsi="Arial"/>
          <w:sz w:val="18"/>
          <w:szCs w:val="18"/>
          <w:color w:val="auto"/>
        </w:rPr>
        <w:t>the tax positions taken by the Plan and has concluded that as of December 31, 2025 and 2024, there are no uncertain tax positions taken or expected to be taken that would require recognition of a liability (or asset) or disclosure in the financial statements. The Plan is subject to routine audits by taxing jurisdictions; however, there are currently no audits for any tax periods in progress. The Plan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administrator believes it is no longer subject to income tax examinations for years prior to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Rights Upon Plan Termination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at any time</w:t>
      </w:r>
    </w:p>
    <w:p>
      <w:pPr>
        <w:jc w:val="both"/>
        <w:ind w:left="340" w:right="20"/>
        <w:spacing w:after="0" w:line="229" w:lineRule="auto"/>
        <w:rPr>
          <w:sz w:val="20"/>
          <w:szCs w:val="20"/>
          <w:color w:val="auto"/>
        </w:rPr>
      </w:pPr>
      <w:r>
        <w:rPr>
          <w:rFonts w:ascii="Arial" w:cs="Arial" w:eastAsia="Arial" w:hAnsi="Arial"/>
          <w:sz w:val="18"/>
          <w:szCs w:val="18"/>
          <w:color w:val="auto"/>
        </w:rPr>
        <w:t>and to terminate the Plan subject to the provisions of ERISA. In the event of Plan termination, participants would become 100% vested in their employer contributions and earnings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Transfer of Assets</w:t>
      </w:r>
    </w:p>
    <w:p>
      <w:pPr>
        <w:spacing w:after="0" w:line="225"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color w:val="auto"/>
        </w:rPr>
        <w:t>Throughout the year, employees may transfer to various positions within the Company. This may result in a transfer to or from the Plan to another plan sponsored by the Company. This is shown as a transfer to or from the Plan on the 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P.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gridSpan w:val="7"/>
          </w:tcPr>
          <w:p>
            <w:pPr>
              <w:jc w:val="center"/>
              <w:ind w:right="490"/>
              <w:spacing w:after="0"/>
              <w:rPr>
                <w:sz w:val="20"/>
                <w:szCs w:val="20"/>
                <w:color w:val="auto"/>
              </w:rPr>
            </w:pPr>
            <w:r>
              <w:rPr>
                <w:rFonts w:ascii="Arial" w:cs="Arial" w:eastAsia="Arial" w:hAnsi="Arial"/>
                <w:sz w:val="18"/>
                <w:szCs w:val="18"/>
                <w:color w:val="auto"/>
                <w:w w:val="99"/>
              </w:rPr>
              <w:t>INGREDION INCORPORATED RETIREMENT SAVINGS PLAN</w:t>
            </w: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color w:val="auto"/>
                <w:w w:val="99"/>
              </w:rPr>
              <w:t>FOR SALARIED EMPLOYEES</w:t>
            </w: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420" w:type="dxa"/>
            <w:vAlign w:val="bottom"/>
            <w:tcBorders>
              <w:bottom w:val="single" w:sz="8" w:color="auto"/>
            </w:tcBorders>
            <w:gridSpan w:val="2"/>
          </w:tcPr>
          <w:p>
            <w:pPr>
              <w:spacing w:after="0"/>
              <w:rPr>
                <w:sz w:val="23"/>
                <w:szCs w:val="23"/>
                <w:color w:val="auto"/>
              </w:rPr>
            </w:pPr>
          </w:p>
        </w:tc>
        <w:tc>
          <w:tcPr>
            <w:tcW w:w="900" w:type="dxa"/>
            <w:vAlign w:val="bottom"/>
            <w:tcBorders>
              <w:bottom w:val="single" w:sz="8" w:color="auto"/>
            </w:tcBorders>
            <w:gridSpan w:val="2"/>
          </w:tcPr>
          <w:p>
            <w:pPr>
              <w:spacing w:after="0"/>
              <w:rPr>
                <w:sz w:val="23"/>
                <w:szCs w:val="23"/>
                <w:color w:val="auto"/>
              </w:rPr>
            </w:pPr>
          </w:p>
        </w:tc>
        <w:tc>
          <w:tcPr>
            <w:tcW w:w="2500" w:type="dxa"/>
            <w:vAlign w:val="bottom"/>
            <w:tcBorders>
              <w:bottom w:val="single" w:sz="8" w:color="auto"/>
            </w:tcBorders>
            <w:gridSpan w:val="2"/>
          </w:tcPr>
          <w:p>
            <w:pPr>
              <w:spacing w:after="0"/>
              <w:rPr>
                <w:sz w:val="23"/>
                <w:szCs w:val="23"/>
                <w:color w:val="auto"/>
              </w:rPr>
            </w:pPr>
          </w:p>
        </w:tc>
        <w:tc>
          <w:tcPr>
            <w:tcW w:w="1060" w:type="dxa"/>
            <w:vAlign w:val="bottom"/>
            <w:tcBorders>
              <w:bottom w:val="single" w:sz="8" w:color="auto"/>
            </w:tcBorders>
            <w:gridSpan w:val="2"/>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6880" w:type="dxa"/>
            <w:vAlign w:val="bottom"/>
            <w:gridSpan w:val="8"/>
          </w:tcPr>
          <w:p>
            <w:pPr>
              <w:spacing w:after="0"/>
              <w:rPr>
                <w:sz w:val="20"/>
                <w:szCs w:val="20"/>
                <w:color w:val="auto"/>
              </w:rPr>
            </w:pPr>
            <w:r>
              <w:rPr>
                <w:rFonts w:ascii="Arial" w:cs="Arial" w:eastAsia="Arial" w:hAnsi="Arial"/>
                <w:sz w:val="20"/>
                <w:szCs w:val="20"/>
                <w:b w:val="1"/>
                <w:bCs w:val="1"/>
                <w:color w:val="auto"/>
              </w:rPr>
              <w:t>Schedule H, Line 4a - Schedule of Delinquent Participant Contributions</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w w:val="99"/>
              </w:rPr>
              <w:t>Year ended December 31, 2025</w:t>
            </w: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2140" w:type="dxa"/>
            <w:vAlign w:val="bottom"/>
          </w:tcPr>
          <w:p>
            <w:pPr>
              <w:ind w:left="20"/>
              <w:spacing w:after="0"/>
              <w:rPr>
                <w:sz w:val="20"/>
                <w:szCs w:val="20"/>
                <w:color w:val="auto"/>
              </w:rPr>
            </w:pPr>
            <w:r>
              <w:rPr>
                <w:rFonts w:ascii="Arial" w:cs="Arial" w:eastAsia="Arial" w:hAnsi="Arial"/>
                <w:sz w:val="18"/>
                <w:szCs w:val="18"/>
                <w:color w:val="auto"/>
              </w:rPr>
              <w:t>Name of Plan Sponsor:</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00" w:type="dxa"/>
            <w:vAlign w:val="bottom"/>
            <w:gridSpan w:val="3"/>
          </w:tcPr>
          <w:p>
            <w:pPr>
              <w:ind w:left="360"/>
              <w:spacing w:after="0"/>
              <w:rPr>
                <w:sz w:val="20"/>
                <w:szCs w:val="20"/>
                <w:color w:val="auto"/>
              </w:rPr>
            </w:pPr>
            <w:r>
              <w:rPr>
                <w:rFonts w:ascii="Arial" w:cs="Arial" w:eastAsia="Arial" w:hAnsi="Arial"/>
                <w:sz w:val="18"/>
                <w:szCs w:val="18"/>
                <w:color w:val="auto"/>
              </w:rPr>
              <w:t>Ingredion Incorporated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40" w:type="dxa"/>
            <w:vAlign w:val="bottom"/>
            <w:gridSpan w:val="3"/>
          </w:tcPr>
          <w:p>
            <w:pPr>
              <w:ind w:left="20"/>
              <w:spacing w:after="0"/>
              <w:rPr>
                <w:sz w:val="20"/>
                <w:szCs w:val="20"/>
                <w:color w:val="auto"/>
              </w:rPr>
            </w:pPr>
            <w:r>
              <w:rPr>
                <w:rFonts w:ascii="Arial" w:cs="Arial" w:eastAsia="Arial" w:hAnsi="Arial"/>
                <w:sz w:val="18"/>
                <w:szCs w:val="18"/>
                <w:color w:val="auto"/>
              </w:rPr>
              <w:t>Employer identification number:</w:t>
            </w:r>
          </w:p>
        </w:tc>
        <w:tc>
          <w:tcPr>
            <w:tcW w:w="680" w:type="dxa"/>
            <w:vAlign w:val="bottom"/>
          </w:tcPr>
          <w:p>
            <w:pPr>
              <w:spacing w:after="0"/>
              <w:rPr>
                <w:sz w:val="19"/>
                <w:szCs w:val="19"/>
                <w:color w:val="auto"/>
              </w:rPr>
            </w:pPr>
          </w:p>
        </w:tc>
        <w:tc>
          <w:tcPr>
            <w:tcW w:w="250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22-3514823</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Arial" w:cs="Arial" w:eastAsia="Arial" w:hAnsi="Arial"/>
                <w:sz w:val="18"/>
                <w:szCs w:val="18"/>
                <w:color w:val="auto"/>
              </w:rPr>
              <w:t>Three-digit plan number:</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004</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2140" w:type="dxa"/>
            <w:vAlign w:val="bottom"/>
            <w:vMerge w:val="restart"/>
          </w:tcPr>
          <w:p>
            <w:pPr>
              <w:jc w:val="center"/>
              <w:ind w:right="29"/>
              <w:spacing w:after="0"/>
              <w:rPr>
                <w:sz w:val="20"/>
                <w:szCs w:val="20"/>
                <w:color w:val="auto"/>
              </w:rPr>
            </w:pPr>
            <w:r>
              <w:rPr>
                <w:rFonts w:ascii="Arial" w:cs="Arial" w:eastAsia="Arial" w:hAnsi="Arial"/>
                <w:sz w:val="18"/>
                <w:szCs w:val="18"/>
                <w:color w:val="auto"/>
                <w:w w:val="99"/>
              </w:rPr>
              <w:t>Check here if Late</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6"/>
          </w:tcPr>
          <w:p>
            <w:pPr>
              <w:jc w:val="right"/>
              <w:ind w:right="1050"/>
              <w:spacing w:after="0"/>
              <w:rPr>
                <w:sz w:val="20"/>
                <w:szCs w:val="20"/>
                <w:color w:val="auto"/>
              </w:rPr>
            </w:pPr>
            <w:r>
              <w:rPr>
                <w:rFonts w:ascii="Arial" w:cs="Arial" w:eastAsia="Arial" w:hAnsi="Arial"/>
                <w:sz w:val="18"/>
                <w:szCs w:val="18"/>
                <w:color w:val="auto"/>
              </w:rPr>
              <w:t>Total that Constitute Nonexempt Prohibited Transactions</w:t>
            </w:r>
          </w:p>
        </w:tc>
        <w:tc>
          <w:tcPr>
            <w:tcW w:w="500" w:type="dxa"/>
            <w:vAlign w:val="bottom"/>
          </w:tcPr>
          <w:p>
            <w:pPr>
              <w:spacing w:after="0"/>
              <w:rPr>
                <w:sz w:val="24"/>
                <w:szCs w:val="2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Total Fully</w:t>
            </w:r>
          </w:p>
        </w:tc>
        <w:tc>
          <w:tcPr>
            <w:tcW w:w="0" w:type="dxa"/>
            <w:vAlign w:val="bottom"/>
          </w:tcPr>
          <w:p>
            <w:pPr>
              <w:spacing w:after="0"/>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gridSpan w:val="2"/>
            <w:vMerge w:val="restart"/>
          </w:tcPr>
          <w:p>
            <w:pPr>
              <w:jc w:val="center"/>
              <w:ind w:left="590"/>
              <w:spacing w:after="0"/>
              <w:rPr>
                <w:sz w:val="20"/>
                <w:szCs w:val="20"/>
                <w:color w:val="auto"/>
              </w:rPr>
            </w:pPr>
            <w:r>
              <w:rPr>
                <w:rFonts w:ascii="Arial" w:cs="Arial" w:eastAsia="Arial" w:hAnsi="Arial"/>
                <w:sz w:val="18"/>
                <w:szCs w:val="18"/>
                <w:color w:val="auto"/>
                <w:w w:val="99"/>
              </w:rPr>
              <w:t>Contributions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40" w:type="dxa"/>
            <w:vAlign w:val="bottom"/>
          </w:tcPr>
          <w:p>
            <w:pPr>
              <w:jc w:val="center"/>
              <w:ind w:right="29"/>
              <w:spacing w:after="0" w:line="181" w:lineRule="exact"/>
              <w:rPr>
                <w:sz w:val="20"/>
                <w:szCs w:val="20"/>
                <w:color w:val="auto"/>
              </w:rPr>
            </w:pPr>
            <w:r>
              <w:rPr>
                <w:rFonts w:ascii="Arial" w:cs="Arial" w:eastAsia="Arial" w:hAnsi="Arial"/>
                <w:sz w:val="18"/>
                <w:szCs w:val="18"/>
                <w:color w:val="auto"/>
                <w:w w:val="99"/>
              </w:rPr>
              <w:t>Participant Loan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vMerge w:val="restart"/>
          </w:tcPr>
          <w:p>
            <w:pPr>
              <w:jc w:val="center"/>
              <w:ind w:right="190"/>
              <w:spacing w:after="0"/>
              <w:rPr>
                <w:sz w:val="20"/>
                <w:szCs w:val="20"/>
                <w:color w:val="auto"/>
              </w:rPr>
            </w:pPr>
            <w:r>
              <w:rPr>
                <w:rFonts w:ascii="Arial" w:cs="Arial" w:eastAsia="Arial" w:hAnsi="Arial"/>
                <w:sz w:val="18"/>
                <w:szCs w:val="18"/>
                <w:color w:val="auto"/>
              </w:rPr>
              <w:t>Contributions Not</w:t>
            </w:r>
          </w:p>
        </w:tc>
        <w:tc>
          <w:tcPr>
            <w:tcW w:w="19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vMerge w:val="restart"/>
          </w:tcPr>
          <w:p>
            <w:pPr>
              <w:jc w:val="center"/>
              <w:ind w:right="10"/>
              <w:spacing w:after="0"/>
              <w:rPr>
                <w:sz w:val="20"/>
                <w:szCs w:val="20"/>
                <w:color w:val="auto"/>
              </w:rPr>
            </w:pPr>
            <w:r>
              <w:rPr>
                <w:rFonts w:ascii="Arial" w:cs="Arial" w:eastAsia="Arial" w:hAnsi="Arial"/>
                <w:sz w:val="18"/>
                <w:szCs w:val="18"/>
                <w:color w:val="auto"/>
              </w:rPr>
              <w:t>Contributions Pending</w:t>
            </w:r>
          </w:p>
        </w:tc>
        <w:tc>
          <w:tcPr>
            <w:tcW w:w="500" w:type="dxa"/>
            <w:vAlign w:val="bottom"/>
          </w:tcPr>
          <w:p>
            <w:pPr>
              <w:spacing w:after="0"/>
              <w:rPr>
                <w:sz w:val="15"/>
                <w:szCs w:val="15"/>
                <w:color w:val="auto"/>
              </w:rPr>
            </w:pPr>
          </w:p>
        </w:tc>
        <w:tc>
          <w:tcPr>
            <w:tcW w:w="1560" w:type="dxa"/>
            <w:vAlign w:val="bottom"/>
            <w:gridSpan w:val="2"/>
          </w:tcPr>
          <w:p>
            <w:pPr>
              <w:jc w:val="center"/>
              <w:ind w:right="100"/>
              <w:spacing w:after="0" w:line="181" w:lineRule="exact"/>
              <w:rPr>
                <w:sz w:val="20"/>
                <w:szCs w:val="20"/>
                <w:color w:val="auto"/>
              </w:rPr>
            </w:pPr>
            <w:r>
              <w:rPr>
                <w:rFonts w:ascii="Arial" w:cs="Arial" w:eastAsia="Arial" w:hAnsi="Arial"/>
                <w:sz w:val="18"/>
                <w:szCs w:val="18"/>
                <w:color w:val="auto"/>
              </w:rPr>
              <w:t>Corrected Under</w:t>
            </w:r>
          </w:p>
        </w:tc>
        <w:tc>
          <w:tcPr>
            <w:tcW w:w="0" w:type="dxa"/>
            <w:vAlign w:val="bottom"/>
          </w:tcPr>
          <w:p>
            <w:pPr>
              <w:spacing w:after="0"/>
              <w:rPr>
                <w:sz w:val="1"/>
                <w:szCs w:val="1"/>
                <w:color w:val="auto"/>
              </w:rPr>
            </w:pPr>
          </w:p>
        </w:tc>
      </w:tr>
      <w:tr>
        <w:trPr>
          <w:trHeight w:val="175"/>
        </w:trPr>
        <w:tc>
          <w:tcPr>
            <w:tcW w:w="2140" w:type="dxa"/>
            <w:vAlign w:val="bottom"/>
          </w:tcPr>
          <w:p>
            <w:pPr>
              <w:jc w:val="center"/>
              <w:ind w:right="9"/>
              <w:spacing w:after="0" w:line="176" w:lineRule="exact"/>
              <w:rPr>
                <w:sz w:val="20"/>
                <w:szCs w:val="20"/>
                <w:color w:val="auto"/>
              </w:rPr>
            </w:pPr>
            <w:r>
              <w:rPr>
                <w:rFonts w:ascii="Arial" w:cs="Arial" w:eastAsia="Arial" w:hAnsi="Arial"/>
                <w:sz w:val="18"/>
                <w:szCs w:val="18"/>
                <w:color w:val="auto"/>
                <w:w w:val="99"/>
              </w:rPr>
              <w:t>Repayments are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56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Corrected Outside</w:t>
            </w:r>
          </w:p>
        </w:tc>
        <w:tc>
          <w:tcPr>
            <w:tcW w:w="22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VFCP and PTE</w:t>
            </w:r>
          </w:p>
        </w:tc>
        <w:tc>
          <w:tcPr>
            <w:tcW w:w="0" w:type="dxa"/>
            <w:vAlign w:val="bottom"/>
          </w:tcPr>
          <w:p>
            <w:pPr>
              <w:spacing w:after="0"/>
              <w:rPr>
                <w:sz w:val="1"/>
                <w:szCs w:val="1"/>
                <w:color w:val="auto"/>
              </w:rPr>
            </w:pPr>
          </w:p>
        </w:tc>
      </w:tr>
      <w:tr>
        <w:trPr>
          <w:trHeight w:val="230"/>
        </w:trPr>
        <w:tc>
          <w:tcPr>
            <w:tcW w:w="2140" w:type="dxa"/>
            <w:vAlign w:val="bottom"/>
          </w:tcPr>
          <w:p>
            <w:pPr>
              <w:jc w:val="center"/>
              <w:ind w:right="9"/>
              <w:spacing w:after="0"/>
              <w:rPr>
                <w:sz w:val="20"/>
                <w:szCs w:val="20"/>
                <w:color w:val="auto"/>
              </w:rPr>
            </w:pPr>
            <w:r>
              <w:rPr>
                <w:rFonts w:ascii="Arial" w:cs="Arial" w:eastAsia="Arial" w:hAnsi="Arial"/>
                <w:sz w:val="18"/>
                <w:szCs w:val="18"/>
                <w:color w:val="auto"/>
                <w:w w:val="99"/>
              </w:rPr>
              <w:t>Included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center"/>
              <w:ind w:right="190"/>
              <w:spacing w:after="0"/>
              <w:rPr>
                <w:sz w:val="20"/>
                <w:szCs w:val="20"/>
                <w:color w:val="auto"/>
              </w:rPr>
            </w:pPr>
            <w:r>
              <w:rPr>
                <w:rFonts w:ascii="Arial" w:cs="Arial" w:eastAsia="Arial" w:hAnsi="Arial"/>
                <w:sz w:val="18"/>
                <w:szCs w:val="18"/>
                <w:color w:val="auto"/>
              </w:rPr>
              <w:t>Corrected</w:t>
            </w:r>
          </w:p>
        </w:tc>
        <w:tc>
          <w:tcPr>
            <w:tcW w:w="19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VFCP</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9"/>
              </w:rPr>
              <w:t>Correction in VFCP</w:t>
            </w:r>
          </w:p>
        </w:tc>
        <w:tc>
          <w:tcPr>
            <w:tcW w:w="5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2002-51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jc w:val="center"/>
              <w:ind w:right="9"/>
              <w:spacing w:after="0"/>
              <w:rPr>
                <w:sz w:val="20"/>
                <w:szCs w:val="20"/>
                <w:color w:val="auto"/>
              </w:rPr>
            </w:pPr>
            <w:r>
              <w:rPr>
                <w:rFonts w:ascii="Arial" w:cs="Arial" w:eastAsia="Arial" w:hAnsi="Arial"/>
                <w:sz w:val="18"/>
                <w:szCs w:val="18"/>
                <w:color w:val="auto"/>
                <w:w w:val="99"/>
              </w:rPr>
              <w:t>X</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1,583,072</w:t>
            </w:r>
          </w:p>
        </w:tc>
        <w:tc>
          <w:tcPr>
            <w:tcW w:w="15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287,991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Contributions related to Plan year ended December 31, 2025</w:t>
      </w: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Contributions related to Plan year ended December 31, 2024 corrected during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the Report of Independent Registered Public Accounting Firm</w:t>
      </w:r>
    </w:p>
    <w:p>
      <w:pPr>
        <w:jc w:val="right"/>
        <w:spacing w:after="0"/>
        <w:rPr>
          <w:sz w:val="20"/>
          <w:szCs w:val="20"/>
          <w:color w:val="auto"/>
        </w:rPr>
      </w:pPr>
      <w:r>
        <w:rPr>
          <w:rFonts w:ascii="Arial" w:cs="Arial" w:eastAsia="Arial" w:hAnsi="Arial"/>
          <w:sz w:val="18"/>
          <w:szCs w:val="18"/>
          <w:color w:val="auto"/>
        </w:rPr>
        <w:t>P.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INGREDION INCORPORATED RETIREMENT SAVINGS PLAN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883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H, Line 4i - Schedule of Assets (Held at End of Year)</w:t>
      </w:r>
    </w:p>
    <w:p>
      <w:pPr>
        <w:spacing w:after="0"/>
        <w:rPr>
          <w:sz w:val="20"/>
          <w:szCs w:val="20"/>
          <w:color w:val="auto"/>
        </w:rPr>
      </w:pPr>
      <w:r>
        <w:rPr>
          <w:rFonts w:ascii="Arial" w:cs="Arial" w:eastAsia="Arial" w:hAnsi="Arial"/>
          <w:sz w:val="18"/>
          <w:szCs w:val="18"/>
          <w:b w:val="1"/>
          <w:bCs w:val="1"/>
          <w:color w:val="auto"/>
        </w:rPr>
        <w:t>December 31, 2025</w:t>
      </w:r>
    </w:p>
    <w:p>
      <w:pPr>
        <w:sectPr>
          <w:pgSz w:w="11900" w:h="16838" w:orient="portrait"/>
          <w:cols w:equalWidth="0" w:num="1">
            <w:col w:w="11240"/>
          </w:cols>
          <w:pgMar w:left="320" w:top="108"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Plan Sponsor: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Employer identification number: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Three-digit plan number: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5900"/>
        <w:spacing w:after="0"/>
        <w:rPr>
          <w:sz w:val="20"/>
          <w:szCs w:val="20"/>
          <w:color w:val="auto"/>
        </w:rPr>
      </w:pPr>
      <w:r>
        <w:rPr>
          <w:rFonts w:ascii="Arial" w:cs="Arial" w:eastAsia="Arial" w:hAnsi="Arial"/>
          <w:sz w:val="18"/>
          <w:szCs w:val="18"/>
          <w:color w:val="auto"/>
        </w:rPr>
        <w:t>Ingredion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17780</wp:posOffset>
            </wp:positionV>
            <wp:extent cx="1534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6" w:lineRule="exact"/>
        <w:rPr>
          <w:sz w:val="20"/>
          <w:szCs w:val="20"/>
          <w:color w:val="auto"/>
        </w:rPr>
      </w:pPr>
    </w:p>
    <w:p>
      <w:pPr>
        <w:jc w:val="center"/>
        <w:ind w:right="5900"/>
        <w:spacing w:after="0"/>
        <w:rPr>
          <w:sz w:val="20"/>
          <w:szCs w:val="20"/>
          <w:color w:val="auto"/>
        </w:rPr>
      </w:pPr>
      <w:r>
        <w:rPr>
          <w:rFonts w:ascii="Arial" w:cs="Arial" w:eastAsia="Arial" w:hAnsi="Arial"/>
          <w:sz w:val="18"/>
          <w:szCs w:val="18"/>
          <w:color w:val="auto"/>
        </w:rPr>
        <w:t>22-3514823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17780</wp:posOffset>
            </wp:positionV>
            <wp:extent cx="1534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6" w:lineRule="exact"/>
        <w:rPr>
          <w:sz w:val="20"/>
          <w:szCs w:val="20"/>
          <w:color w:val="auto"/>
        </w:rPr>
      </w:pPr>
    </w:p>
    <w:p>
      <w:pPr>
        <w:jc w:val="center"/>
        <w:ind w:right="5900"/>
        <w:spacing w:after="0"/>
        <w:rPr>
          <w:sz w:val="20"/>
          <w:szCs w:val="20"/>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17780</wp:posOffset>
            </wp:positionV>
            <wp:extent cx="1534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720"/>
            <w:col w:w="7720"/>
          </w:cols>
          <w:pgMar w:left="320" w:top="108" w:right="339" w:bottom="144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ind w:left="20"/>
              <w:spacing w:after="0"/>
              <w:rPr>
                <w:sz w:val="20"/>
                <w:szCs w:val="20"/>
                <w:color w:val="auto"/>
              </w:rPr>
            </w:pPr>
            <w:r>
              <w:rPr>
                <w:rFonts w:ascii="Arial" w:cs="Arial" w:eastAsia="Arial" w:hAnsi="Arial"/>
                <w:sz w:val="18"/>
                <w:szCs w:val="18"/>
                <w:color w:val="auto"/>
              </w:rPr>
              <w:t>(a)</w:t>
            </w:r>
          </w:p>
        </w:tc>
        <w:tc>
          <w:tcPr>
            <w:tcW w:w="43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(b)</w:t>
            </w: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(c)</w:t>
            </w: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w:t>
            </w:r>
          </w:p>
        </w:tc>
        <w:tc>
          <w:tcPr>
            <w:tcW w:w="280" w:type="dxa"/>
            <w:vAlign w:val="bottom"/>
          </w:tcPr>
          <w:p>
            <w:pPr>
              <w:spacing w:after="0"/>
              <w:rPr>
                <w:sz w:val="19"/>
                <w:szCs w:val="19"/>
                <w:color w:val="auto"/>
              </w:rPr>
            </w:pPr>
          </w:p>
        </w:tc>
        <w:tc>
          <w:tcPr>
            <w:tcW w:w="1200" w:type="dxa"/>
            <w:vAlign w:val="bottom"/>
          </w:tcPr>
          <w:p>
            <w:pPr>
              <w:ind w:left="34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Description of Investment Including</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430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Identify of Issue, Borrower, Lessor, or</w:t>
            </w: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Maturity Date, Rate of Interest,</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99"/>
              </w:rPr>
              <w:t>Current</w:t>
            </w: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3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Similar Party</w:t>
            </w: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Collateral, Par of Maturity Value</w:t>
            </w: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rPr>
              <w:t>Cost</w:t>
            </w:r>
          </w:p>
        </w:tc>
        <w:tc>
          <w:tcPr>
            <w:tcW w:w="28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95"/>
              </w:rPr>
              <w:t>Value</w:t>
            </w:r>
          </w:p>
        </w:tc>
        <w:tc>
          <w:tcPr>
            <w:tcW w:w="0" w:type="dxa"/>
            <w:vAlign w:val="bottom"/>
          </w:tcPr>
          <w:p>
            <w:pPr>
              <w:spacing w:after="0"/>
              <w:rPr>
                <w:sz w:val="1"/>
                <w:szCs w:val="1"/>
                <w:color w:val="auto"/>
              </w:rPr>
            </w:pPr>
          </w:p>
        </w:tc>
      </w:tr>
      <w:tr>
        <w:trPr>
          <w:trHeight w:val="250"/>
        </w:trPr>
        <w:tc>
          <w:tcPr>
            <w:tcW w:w="360" w:type="dxa"/>
            <w:vAlign w:val="bottom"/>
            <w:tcBorders>
              <w:top w:val="single" w:sz="8" w:color="CCEEFF"/>
            </w:tcBorders>
            <w:shd w:val="clear" w:color="auto" w:fill="CCEEFF"/>
          </w:tcPr>
          <w:p>
            <w:pPr>
              <w:spacing w:after="0"/>
              <w:rPr>
                <w:sz w:val="21"/>
                <w:szCs w:val="21"/>
                <w:color w:val="auto"/>
              </w:rPr>
            </w:pPr>
          </w:p>
        </w:tc>
        <w:tc>
          <w:tcPr>
            <w:tcW w:w="39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37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660" w:type="dxa"/>
            <w:vAlign w:val="bottom"/>
            <w:gridSpan w:val="3"/>
          </w:tcPr>
          <w:p>
            <w:pPr>
              <w:ind w:left="140"/>
              <w:spacing w:after="0" w:line="183" w:lineRule="exact"/>
              <w:rPr>
                <w:sz w:val="20"/>
                <w:szCs w:val="20"/>
                <w:color w:val="auto"/>
              </w:rPr>
            </w:pPr>
            <w:r>
              <w:rPr>
                <w:rFonts w:ascii="Arial" w:cs="Arial" w:eastAsia="Arial" w:hAnsi="Arial"/>
                <w:sz w:val="18"/>
                <w:szCs w:val="18"/>
                <w:color w:val="auto"/>
              </w:rPr>
              <w:t>*   Notes receivable from participants</w:t>
            </w:r>
          </w:p>
        </w:tc>
        <w:tc>
          <w:tcPr>
            <w:tcW w:w="40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Notes bearing interest at rates ranging from</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ind w:left="320"/>
              <w:spacing w:after="0"/>
              <w:rPr>
                <w:sz w:val="20"/>
                <w:szCs w:val="20"/>
                <w:color w:val="auto"/>
              </w:rPr>
            </w:pPr>
            <w:r>
              <w:rPr>
                <w:rFonts w:ascii="Arial" w:cs="Arial" w:eastAsia="Arial" w:hAnsi="Arial"/>
                <w:sz w:val="18"/>
                <w:szCs w:val="18"/>
                <w:color w:val="auto"/>
              </w:rPr>
              <w:t>7,118,307</w:t>
            </w:r>
          </w:p>
        </w:tc>
        <w:tc>
          <w:tcPr>
            <w:tcW w:w="0" w:type="dxa"/>
            <w:vAlign w:val="bottom"/>
          </w:tcPr>
          <w:p>
            <w:pPr>
              <w:spacing w:after="0"/>
              <w:rPr>
                <w:sz w:val="1"/>
                <w:szCs w:val="1"/>
                <w:color w:val="auto"/>
              </w:rPr>
            </w:pPr>
          </w:p>
        </w:tc>
      </w:tr>
      <w:tr>
        <w:trPr>
          <w:trHeight w:val="235"/>
        </w:trPr>
        <w:tc>
          <w:tcPr>
            <w:tcW w:w="360" w:type="dxa"/>
            <w:vAlign w:val="bottom"/>
            <w:tcBorders>
              <w:bottom w:val="single" w:sz="8" w:color="CCEEFF"/>
            </w:tcBorders>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8"/>
                <w:szCs w:val="18"/>
                <w:color w:val="auto"/>
              </w:rPr>
              <w:t>4.25% to 9.50%, and maturing through to 2041</w:t>
            </w:r>
          </w:p>
        </w:tc>
        <w:tc>
          <w:tcPr>
            <w:tcW w:w="7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7,118,307</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340" w:hanging="31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Denotes a party in interest to the Plan.</w:t>
      </w:r>
    </w:p>
    <w:p>
      <w:pPr>
        <w:spacing w:after="0" w:line="32" w:lineRule="exact"/>
        <w:rPr>
          <w:sz w:val="20"/>
          <w:szCs w:val="20"/>
          <w:color w:val="auto"/>
        </w:rPr>
      </w:pPr>
    </w:p>
    <w:p>
      <w:pPr>
        <w:ind w:left="340" w:hanging="31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investments are participant-directed; therefore, historical cost information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the Report of Independent Registered Public Accounting Firm</w:t>
      </w:r>
    </w:p>
    <w:p>
      <w:pPr>
        <w:jc w:val="right"/>
        <w:spacing w:after="0"/>
        <w:rPr>
          <w:sz w:val="20"/>
          <w:szCs w:val="20"/>
          <w:color w:val="auto"/>
        </w:rPr>
      </w:pPr>
      <w:r>
        <w:rPr>
          <w:rFonts w:ascii="Arial" w:cs="Arial" w:eastAsia="Arial" w:hAnsi="Arial"/>
          <w:sz w:val="18"/>
          <w:szCs w:val="18"/>
          <w:color w:val="auto"/>
        </w:rPr>
        <w:t>P.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20" w:type="dxa"/>
            <w:vAlign w:val="bottom"/>
            <w:gridSpan w:val="2"/>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488"/>
        </w:trPr>
        <w:tc>
          <w:tcPr>
            <w:tcW w:w="2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Documents</w:t>
            </w:r>
          </w:p>
        </w:tc>
      </w:tr>
      <w:tr>
        <w:trPr>
          <w:trHeight w:val="385"/>
        </w:trPr>
        <w:tc>
          <w:tcPr>
            <w:tcW w:w="17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The Plan. </w:t>
      </w:r>
      <w:r>
        <w:rPr>
          <w:rFonts w:ascii="Arial" w:cs="Arial" w:eastAsia="Arial" w:hAnsi="Arial"/>
          <w:sz w:val="20"/>
          <w:szCs w:val="20"/>
          <w:color w:val="auto"/>
        </w:rPr>
        <w:t>Pursuant to the requirements of the Securities Exchange Act of 1934, the trustees (or other persons who administer</w:t>
      </w:r>
    </w:p>
    <w:p>
      <w:pPr>
        <w:ind w:right="20"/>
        <w:spacing w:after="0" w:line="225" w:lineRule="auto"/>
        <w:rPr>
          <w:sz w:val="20"/>
          <w:szCs w:val="20"/>
          <w:color w:val="auto"/>
        </w:rPr>
      </w:pPr>
      <w:r>
        <w:rPr>
          <w:rFonts w:ascii="Arial" w:cs="Arial" w:eastAsia="Arial" w:hAnsi="Arial"/>
          <w:sz w:val="20"/>
          <w:szCs w:val="20"/>
          <w:color w:val="auto"/>
        </w:rPr>
        <w:t>the employee benefits plan) have duly caused this annual report to be signed on its behalf by the undersigned hereunto duly authorized.</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Ingredion Incorporated</w:t>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Retirement Savings Plan for</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Salaried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3780" w:type="dxa"/>
            <w:vAlign w:val="bottom"/>
          </w:tcPr>
          <w:p>
            <w:pPr>
              <w:spacing w:after="0"/>
              <w:rPr>
                <w:sz w:val="20"/>
                <w:szCs w:val="20"/>
                <w:color w:val="auto"/>
              </w:rPr>
            </w:pPr>
            <w:r>
              <w:rPr>
                <w:rFonts w:ascii="Arial" w:cs="Arial" w:eastAsia="Arial" w:hAnsi="Arial"/>
                <w:sz w:val="20"/>
                <w:szCs w:val="20"/>
                <w:color w:val="auto"/>
              </w:rPr>
              <w:t>Date:  June 25, 2026</w:t>
            </w:r>
          </w:p>
        </w:tc>
        <w:tc>
          <w:tcPr>
            <w:tcW w:w="7440" w:type="dxa"/>
            <w:vAlign w:val="bottom"/>
            <w:gridSpan w:val="2"/>
          </w:tcPr>
          <w:p>
            <w:pPr>
              <w:ind w:left="1820"/>
              <w:spacing w:after="0"/>
              <w:rPr>
                <w:sz w:val="20"/>
                <w:szCs w:val="20"/>
                <w:color w:val="auto"/>
              </w:rPr>
            </w:pPr>
            <w:r>
              <w:rPr>
                <w:rFonts w:ascii="Arial" w:cs="Arial" w:eastAsia="Arial" w:hAnsi="Arial"/>
                <w:sz w:val="20"/>
                <w:szCs w:val="20"/>
                <w:color w:val="auto"/>
              </w:rPr>
              <w:t>By:   /s/ Julie Quinn</w:t>
            </w:r>
          </w:p>
        </w:tc>
      </w:tr>
      <w:tr>
        <w:trPr>
          <w:trHeight w:val="244"/>
        </w:trPr>
        <w:tc>
          <w:tcPr>
            <w:tcW w:w="37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1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Julie Quinn</w:t>
            </w:r>
          </w:p>
        </w:tc>
      </w:tr>
      <w:tr>
        <w:trPr>
          <w:trHeight w:val="261"/>
        </w:trPr>
        <w:tc>
          <w:tcPr>
            <w:tcW w:w="37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5100" w:type="dxa"/>
            <w:vAlign w:val="bottom"/>
          </w:tcPr>
          <w:p>
            <w:pPr>
              <w:ind w:left="20"/>
              <w:spacing w:after="0"/>
              <w:rPr>
                <w:sz w:val="20"/>
                <w:szCs w:val="20"/>
                <w:color w:val="auto"/>
              </w:rPr>
            </w:pPr>
            <w:r>
              <w:rPr>
                <w:rFonts w:ascii="Arial" w:cs="Arial" w:eastAsia="Arial" w:hAnsi="Arial"/>
                <w:sz w:val="20"/>
                <w:szCs w:val="20"/>
                <w:color w:val="auto"/>
              </w:rPr>
              <w:t>Title:  Plan Administrator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816610</wp:posOffset>
            </wp:positionV>
            <wp:extent cx="7106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 16</w:t>
      </w:r>
    </w:p>
    <w:p>
      <w:pPr>
        <w:sectPr>
          <w:pgSz w:w="11900" w:h="16838" w:orient="portrait"/>
          <w:cols w:equalWidth="0" w:num="1">
            <w:col w:w="11240"/>
          </w:cols>
          <w:pgMar w:left="320" w:top="108"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333-113746, 333-235579, 333-33100, and 333-71573 on Forms S-8 of Ingredion Incorporated of our report dated June 25, 2026 appearing in this Annual Report on Form 11-K of the Ingredion Incorporated Retirement Savings Plan for Salaried Employees for the year ended December 31, 2025.</w:t>
      </w:r>
    </w:p>
    <w:p>
      <w:pPr>
        <w:spacing w:after="0" w:line="200" w:lineRule="exact"/>
        <w:rPr>
          <w:sz w:val="20"/>
          <w:szCs w:val="20"/>
          <w:color w:val="auto"/>
        </w:rPr>
      </w:pPr>
    </w:p>
    <w:p>
      <w:pPr>
        <w:spacing w:after="0" w:line="29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/s/Crowe LLP</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Crowe LLP</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South Bend, Indiana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lvl w:ilvl="1">
      <w:lvlJc w:val="left"/>
      <w:lvlText w:val="%2."/>
      <w:numFmt w:val="upperLetter"/>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lowerLetter"/>
      <w:start w:val="1"/>
    </w:lvl>
    <w:lvl w:ilvl="1">
      <w:lvlJc w:val="left"/>
      <w:lvlText w:val="%2."/>
      <w:numFmt w:val="upperLetter"/>
      <w:start w:val="16"/>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2026-06-26T11:02:19Z</dcterms:created>
  <dcterms:modified xsi:type="dcterms:W3CDTF">2026-06-26T11:02:19Z</dcterms:modified>
</cp:coreProperties>
</file>