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Escoe T. Kenneth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 WESTBROOK CORPORATE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Ingredion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INGR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WESTCHESTER IL</w:t>
            </w:r>
          </w:p>
        </w:tc>
        <w:tc>
          <w:tcPr>
            <w:tcW w:w="1600" w:type="dxa"/>
            <w:vAlign w:val="bottom"/>
          </w:tcPr>
          <w:p>
            <w:pPr>
              <w:jc w:val="right"/>
              <w:ind w:right="643"/>
              <w:spacing w:after="0"/>
              <w:rPr>
                <w:sz w:val="20"/>
                <w:szCs w:val="20"/>
                <w:color w:val="auto"/>
              </w:rPr>
            </w:pPr>
            <w:r>
              <w:rPr>
                <w:rFonts w:ascii="Times New Roman" w:cs="Times New Roman" w:eastAsia="Times New Roman" w:hAnsi="Times New Roman"/>
                <w:sz w:val="17"/>
                <w:szCs w:val="17"/>
                <w:color w:val="0000FF"/>
              </w:rPr>
              <w:t>60154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1,516</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98.97</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1,516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are restricted stock units ("RSUs") issued under the Ingredion Incorporated Stock Incentive Plan to the Company's outside directors as part of their annual retainer (as further described in Exhibit</w:t>
      </w:r>
    </w:p>
    <w:p>
      <w:pPr>
        <w:spacing w:after="0" w:line="11" w:lineRule="exact"/>
        <w:rPr>
          <w:rFonts w:ascii="Times New Roman" w:cs="Times New Roman" w:eastAsia="Times New Roman" w:hAnsi="Times New Roman"/>
          <w:sz w:val="13"/>
          <w:szCs w:val="13"/>
          <w:color w:val="008000"/>
        </w:rPr>
      </w:pPr>
    </w:p>
    <w:p>
      <w:pPr>
        <w:ind w:left="40" w:right="200"/>
        <w:spacing w:after="0"/>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10.26 to the Company's Annual Report on Form 10-K for the year ended December 31, 2025, filed on February 17, 2026). This grant represents the applicable prorated value of the outside directors' 2026 annual equity retainer, reflecting the Company's shift in 2026 from a calendar-year basis for director stock compensation to a twelve-month cycle aligned with the annual stockholder meeting. The RSUs may be settled only in shares of common stock (one share per RSU) and will vest on May 19, 2027, subject to the Committee's discretion to accelerate vesting upon an outside director's retirement, death, disability, or a Change in Control.</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Michael N. Levy, attorney-in-  </w:t>
      </w:r>
      <w:r>
        <w:rPr>
          <w:rFonts w:ascii="Times New Roman" w:cs="Times New Roman" w:eastAsia="Times New Roman" w:hAnsi="Times New Roman"/>
          <w:sz w:val="33"/>
          <w:szCs w:val="33"/>
          <w:color w:val="0000FF"/>
          <w:vertAlign w:val="subscript"/>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50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50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8765" TargetMode="External"/><Relationship Id="rId14" Type="http://schemas.openxmlformats.org/officeDocument/2006/relationships/hyperlink" Target="http://www.sec.gov/cgi-bin/browse-edgar?action=getcompany&amp;CIK=00010462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2026-07-02T13:28:16Z</dcterms:created>
  <dcterms:modified xsi:type="dcterms:W3CDTF">2026-07-02T13:28:16Z</dcterms:modified>
</cp:coreProperties>
</file>