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4, 2026</w:t>
      </w:r>
    </w:p>
    <w:p>
      <w:pPr>
        <w:pStyle w:val="TextBody"/>
        <w:bidi w:val="0"/>
        <w:spacing w:before="120" w:after="283"/>
        <w:jc w:val="center"/>
        <w:rPr/>
      </w:pPr>
      <w:r>
        <w:rPr/>
        <w:drawing>
          <wp:inline distT="0" distB="0" distL="0" distR="0">
            <wp:extent cx="1828800" cy="1333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333500"/>
                    </a:xfrm>
                    <a:prstGeom prst="rect">
                      <a:avLst/>
                    </a:prstGeom>
                  </pic:spPr>
                </pic:pic>
              </a:graphicData>
            </a:graphic>
          </wp:inline>
        </w:drawing>
      </w:r>
      <w:bookmarkStart w:id="0" w:name="i-1"/>
      <w:bookmarkEnd w:id="0"/>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INGREDION INCORPORATED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826" w:type="dxa"/>
        <w:jc w:val="left"/>
        <w:tblInd w:w="0" w:type="dxa"/>
        <w:tblLayout w:type="fixed"/>
        <w:tblCellMar>
          <w:top w:w="28" w:type="dxa"/>
          <w:left w:w="28" w:type="dxa"/>
          <w:bottom w:w="28" w:type="dxa"/>
          <w:right w:w="28" w:type="dxa"/>
        </w:tblCellMar>
      </w:tblPr>
      <w:tblGrid>
        <w:gridCol w:w="829"/>
        <w:gridCol w:w="729"/>
        <w:gridCol w:w="736"/>
        <w:gridCol w:w="109"/>
        <w:gridCol w:w="109"/>
        <w:gridCol w:w="109"/>
        <w:gridCol w:w="408"/>
        <w:gridCol w:w="408"/>
        <w:gridCol w:w="413"/>
        <w:gridCol w:w="109"/>
        <w:gridCol w:w="109"/>
        <w:gridCol w:w="109"/>
        <w:gridCol w:w="481"/>
        <w:gridCol w:w="481"/>
        <w:gridCol w:w="687"/>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22-3514823</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906" w:type="dxa"/>
        <w:jc w:val="left"/>
        <w:tblInd w:w="0" w:type="dxa"/>
        <w:tblLayout w:type="fixed"/>
        <w:tblCellMar>
          <w:top w:w="28" w:type="dxa"/>
          <w:left w:w="28" w:type="dxa"/>
          <w:bottom w:w="28" w:type="dxa"/>
          <w:right w:w="28" w:type="dxa"/>
        </w:tblCellMar>
      </w:tblPr>
      <w:tblGrid>
        <w:gridCol w:w="1647"/>
        <w:gridCol w:w="1444"/>
        <w:gridCol w:w="1453"/>
        <w:gridCol w:w="109"/>
        <w:gridCol w:w="109"/>
        <w:gridCol w:w="109"/>
        <w:gridCol w:w="303"/>
        <w:gridCol w:w="303"/>
        <w:gridCol w:w="429"/>
      </w:tblGrid>
      <w:tr>
        <w:trPr/>
        <w:tc>
          <w:tcPr>
            <w:tcW w:w="164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 Westbrook Corporate Center, Westchester, Illinois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60154</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(708) 551-2600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727" w:type="dxa"/>
        <w:jc w:val="left"/>
        <w:tblInd w:w="0" w:type="dxa"/>
        <w:tblLayout w:type="fixed"/>
        <w:tblCellMar>
          <w:top w:w="28" w:type="dxa"/>
          <w:left w:w="28" w:type="dxa"/>
          <w:bottom w:w="28" w:type="dxa"/>
          <w:right w:w="28" w:type="dxa"/>
        </w:tblCellMar>
      </w:tblPr>
      <w:tblGrid>
        <w:gridCol w:w="1263"/>
        <w:gridCol w:w="1109"/>
        <w:gridCol w:w="1123"/>
        <w:gridCol w:w="109"/>
        <w:gridCol w:w="109"/>
        <w:gridCol w:w="109"/>
        <w:gridCol w:w="564"/>
        <w:gridCol w:w="564"/>
        <w:gridCol w:w="566"/>
        <w:gridCol w:w="109"/>
        <w:gridCol w:w="109"/>
        <w:gridCol w:w="109"/>
        <w:gridCol w:w="1135"/>
        <w:gridCol w:w="1135"/>
        <w:gridCol w:w="1614"/>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INGR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Ingredion Incorporated (the “Company”) issued a press release announcing the Company’s condensed consolidated financial results for the quarter ended June 30, 2026 (the “Press Release”). A copy of the Company’s Press Release is being furnished as Exhibit 99 and hereby incorporated by reference. The Company will host a conference call Tuesday, August 4, 2026 at 8 a.m. CT/ 9 a.m. ET to discuss the second quarter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report on Form 8-K, including Exhibit 99,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 is being furnished as part of this report:</w:t>
      </w:r>
    </w:p>
    <w:tbl>
      <w:tblPr>
        <w:tblW w:w="10205" w:type="dxa"/>
        <w:jc w:val="left"/>
        <w:tblInd w:w="0" w:type="dxa"/>
        <w:tblLayout w:type="fixed"/>
        <w:tblCellMar>
          <w:top w:w="28" w:type="dxa"/>
          <w:left w:w="28" w:type="dxa"/>
          <w:bottom w:w="28" w:type="dxa"/>
          <w:right w:w="28" w:type="dxa"/>
        </w:tblCellMar>
      </w:tblPr>
      <w:tblGrid>
        <w:gridCol w:w="527"/>
        <w:gridCol w:w="462"/>
        <w:gridCol w:w="464"/>
        <w:gridCol w:w="109"/>
        <w:gridCol w:w="109"/>
        <w:gridCol w:w="109"/>
        <w:gridCol w:w="2456"/>
        <w:gridCol w:w="2456"/>
        <w:gridCol w:w="3513"/>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3513"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gr-20260630xexx99.htm">
              <w:r>
                <w:rPr>
                  <w:rStyle w:val="InternetLink"/>
                  <w:rFonts w:ascii="Times New Roman;serif" w:hAnsi="Times New Roman;serif"/>
                  <w:b w:val="false"/>
                  <w:color w:val="0000FF"/>
                  <w:sz w:val="20"/>
                  <w:u w:val="single"/>
                </w:rPr>
                <w:t>99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ngr-20260630xexx99.htm">
              <w:r>
                <w:rPr>
                  <w:rStyle w:val="InternetLink"/>
                  <w:rFonts w:ascii="Times New Roman;serif" w:hAnsi="Times New Roman;serif"/>
                  <w:b w:val="false"/>
                  <w:color w:val="000080"/>
                  <w:sz w:val="20"/>
                  <w:u w:val="single"/>
                </w:rPr>
                <w:t xml:space="preserve">Press Release dated </w:t>
              </w:r>
            </w:hyperlink>
            <w:hyperlink w:anchor="ingr-20260630xexx99.htm">
              <w:r>
                <w:rPr>
                  <w:rStyle w:val="InternetLink"/>
                  <w:rFonts w:ascii="Times New Roman;serif" w:hAnsi="Times New Roman;serif"/>
                  <w:b w:val="false"/>
                  <w:color w:val="000080"/>
                  <w:sz w:val="20"/>
                  <w:u w:val="single"/>
                </w:rPr>
                <w:t>August</w:t>
              </w:r>
            </w:hyperlink>
            <w:hyperlink w:anchor="ingr-20260630xexx99.htm">
              <w:r>
                <w:rPr>
                  <w:rStyle w:val="InternetLink"/>
                  <w:rFonts w:ascii="Times New Roman;serif" w:hAnsi="Times New Roman;serif"/>
                  <w:b w:val="false"/>
                  <w:color w:val="000080"/>
                  <w:sz w:val="20"/>
                  <w:u w:val="single"/>
                </w:rPr>
                <w:t xml:space="preserve"> </w:t>
              </w:r>
            </w:hyperlink>
            <w:hyperlink w:anchor="ingr-20260630xexx99.htm">
              <w:r>
                <w:rPr>
                  <w:rStyle w:val="InternetLink"/>
                  <w:rFonts w:ascii="Times New Roman;serif" w:hAnsi="Times New Roman;serif"/>
                  <w:b w:val="false"/>
                  <w:color w:val="000080"/>
                  <w:sz w:val="20"/>
                  <w:u w:val="single"/>
                </w:rPr>
                <w:t>4</w:t>
              </w:r>
            </w:hyperlink>
            <w:hyperlink w:anchor="ingr-20260630xexx99.htm">
              <w:r>
                <w:rPr>
                  <w:rStyle w:val="InternetLink"/>
                  <w:rFonts w:ascii="Times New Roman;serif" w:hAnsi="Times New Roman;serif"/>
                  <w:b w:val="false"/>
                  <w:color w:val="000080"/>
                  <w:sz w:val="20"/>
                  <w:u w:val="single"/>
                </w:rPr>
                <w:t>, 2026 issued by Ingredion Incorporated</w:t>
              </w:r>
            </w:hyperlink>
          </w:p>
        </w:tc>
      </w:tr>
      <w:tr>
        <w:trPr/>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45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451"/>
        <w:gridCol w:w="451"/>
        <w:gridCol w:w="451"/>
        <w:gridCol w:w="1229"/>
        <w:gridCol w:w="1229"/>
        <w:gridCol w:w="174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INGREDION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Jason A. Payant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Jason A. Payant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64" w:type="dxa"/>
        <w:jc w:val="right"/>
        <w:tblInd w:w="0" w:type="dxa"/>
        <w:tblLayout w:type="fixed"/>
        <w:tblCellMar>
          <w:top w:w="28" w:type="dxa"/>
          <w:left w:w="28" w:type="dxa"/>
          <w:bottom w:w="28" w:type="dxa"/>
          <w:right w:w="28" w:type="dxa"/>
        </w:tblCellMar>
      </w:tblPr>
      <w:tblGrid>
        <w:gridCol w:w="940"/>
        <w:gridCol w:w="826"/>
        <w:gridCol w:w="829"/>
        <w:gridCol w:w="956"/>
        <w:gridCol w:w="956"/>
        <w:gridCol w:w="135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38250" cy="1047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238250" cy="1047750"/>
                          </a:xfrm>
                          <a:prstGeom prst="rect">
                            <a:avLst/>
                          </a:prstGeom>
                        </pic:spPr>
                      </pic:pic>
                    </a:graphicData>
                  </a:graphic>
                </wp:inline>
              </w:drawing>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PRESS RELEASE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Incorporated</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CONTACTS:</w:t>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Westbrook Corporate Center</w:t>
            </w:r>
          </w:p>
        </w:tc>
        <w:tc>
          <w:tcPr>
            <w:tcW w:w="3269"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color w:val="000000"/>
                <w:sz w:val="20"/>
              </w:rPr>
              <w:t>Investors:</w:t>
            </w:r>
            <w:r>
              <w:rPr>
                <w:color w:val="000000"/>
              </w:rPr>
              <w:t xml:space="preserve"> </w:t>
            </w:r>
            <w:r>
              <w:rPr>
                <w:rFonts w:ascii="Times New Roman;serif" w:hAnsi="Times New Roman;serif"/>
                <w:b w:val="false"/>
                <w:color w:val="000000"/>
                <w:sz w:val="20"/>
              </w:rPr>
              <w:t>Noah Weiss, 773-896-5242</w:t>
            </w:r>
          </w:p>
        </w:tc>
      </w:tr>
      <w:tr>
        <w:trPr/>
        <w:tc>
          <w:tcPr>
            <w:tcW w:w="2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Westchester, IL 60154</w:t>
            </w:r>
          </w:p>
        </w:tc>
        <w:tc>
          <w:tcPr>
            <w:tcW w:w="32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pPr>
            <w:r>
              <w:rPr>
                <w:rFonts w:ascii="Times New Roman;serif" w:hAnsi="Times New Roman;serif"/>
                <w:b/>
                <w:color w:val="000000"/>
                <w:sz w:val="20"/>
              </w:rPr>
              <w:t xml:space="preserve">Media: </w:t>
            </w:r>
            <w:r>
              <w:rPr>
                <w:rFonts w:ascii="Times New Roman;serif" w:hAnsi="Times New Roman;serif"/>
                <w:b w:val="false"/>
                <w:color w:val="000000"/>
                <w:sz w:val="20"/>
              </w:rPr>
              <w:t>Rick Wion, 708-209-6323</w:t>
            </w:r>
          </w:p>
        </w:tc>
      </w:tr>
    </w:tbl>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color w:val="92D050"/>
          <w:sz w:val="24"/>
        </w:rPr>
      </w:pPr>
      <w:r>
        <w:rPr>
          <w:rFonts w:ascii="Times New Roman;serif" w:hAnsi="Times New Roman;serif"/>
          <w:b/>
          <w:color w:val="92D050"/>
          <w:sz w:val="24"/>
        </w:rPr>
        <w:t>INGREDION INCORPORATED REPORTS SECOND QUARTER 2026 RESULTS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Second quarter 2026 reported and adjusted* operating income decreased 31% and 5% compared to the second quarter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Second quarter 2026 reported and adjusted EPS were $1.78 and $2.82, compared with $2.99 and $2.87 in the second quarter 2025</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Reaffirming amended full-year guidance, which now reflects the sale of a majority stake in the Pakistan business, for reported EPS to be in the range of $9.15 to $9.75 and adjusted EPS to be in the range of $10.30 to $10.90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Ingredion’s 595 pence all-cash offer to acquire Tate &amp; Lyle accepted by their shareholders</w:t>
      </w:r>
    </w:p>
    <w:p>
      <w:pPr>
        <w:pStyle w:val="TextBody"/>
        <w:bidi w:val="0"/>
        <w:spacing w:before="0" w:after="0"/>
        <w:ind w:left="0" w:right="0" w:hanging="90"/>
        <w:jc w:val="left"/>
        <w:rPr/>
      </w:pPr>
      <w:r>
        <w:rPr/>
      </w:r>
    </w:p>
    <w:p>
      <w:pPr>
        <w:pStyle w:val="TextBody"/>
        <w:bidi w:val="0"/>
        <w:spacing w:lineRule="auto" w:line="268" w:before="0" w:after="0"/>
        <w:jc w:val="left"/>
        <w:rPr/>
      </w:pPr>
      <w:r>
        <w:rPr>
          <w:rFonts w:ascii="Times New Roman;serif" w:hAnsi="Times New Roman;serif"/>
          <w:b/>
          <w:color w:val="000000"/>
          <w:sz w:val="20"/>
        </w:rPr>
        <w:t>WESTCHESTER, Ill., August 4, 2026</w:t>
      </w:r>
      <w:r>
        <w:rPr>
          <w:color w:val="000000"/>
        </w:rPr>
        <w:t xml:space="preserve"> – </w:t>
      </w:r>
      <w:r>
        <w:rPr>
          <w:rFonts w:ascii="Times New Roman;serif" w:hAnsi="Times New Roman;serif"/>
          <w:b w:val="false"/>
          <w:color w:val="000000"/>
          <w:sz w:val="20"/>
        </w:rPr>
        <w:t>Ingredion Incorporated (NYSE: INGR), a leading global provider of ingredient solutions to the food and beverage manufacturing industry, today reported its second quarter 2026 results.</w:t>
      </w:r>
    </w:p>
    <w:p>
      <w:pPr>
        <w:pStyle w:val="TextBody"/>
        <w:bidi w:val="0"/>
        <w:spacing w:lineRule="auto" w:line="288" w:before="240" w:after="2"/>
        <w:jc w:val="left"/>
        <w:rPr>
          <w:color w:val="000000"/>
        </w:rPr>
      </w:pPr>
      <w:r>
        <w:rPr>
          <w:color w:val="000000"/>
        </w:rPr>
        <w:t>“</w:t>
      </w:r>
      <w:r>
        <w:rPr>
          <w:rFonts w:ascii="Times New Roman;serif" w:hAnsi="Times New Roman;serif"/>
          <w:b w:val="false"/>
          <w:color w:val="000000"/>
          <w:sz w:val="20"/>
        </w:rPr>
        <w:t>Ingredion delivered a solid second quarter, with Texture &amp; Healthful Solutions continuing its quarterly net sales volume growth and Food &amp; Industrial Ingredients—U.S./CAN operating results sequentially improving during the quarter," said Jim Zallie, chairman, president and CEO of Ingredion. "Additionally, we completed the sale of our majority stake in the Pakistan business, and we are pleased to report that Tate &amp; Lyle’s shareholders approved our recommended all-cash offer on July 28, marking an important step toward completing the transaction.”</w:t>
      </w:r>
    </w:p>
    <w:p>
      <w:pPr>
        <w:pStyle w:val="TextBody"/>
        <w:bidi w:val="0"/>
        <w:spacing w:lineRule="auto" w:line="288" w:before="240" w:after="2"/>
        <w:jc w:val="left"/>
        <w:rPr>
          <w:color w:val="000000"/>
        </w:rPr>
      </w:pPr>
      <w:r>
        <w:rPr>
          <w:color w:val="000000"/>
        </w:rPr>
        <w:t>“</w:t>
      </w:r>
      <w:r>
        <w:rPr>
          <w:rFonts w:ascii="Times New Roman;serif" w:hAnsi="Times New Roman;serif"/>
          <w:b w:val="false"/>
          <w:color w:val="000000"/>
          <w:sz w:val="20"/>
        </w:rPr>
        <w:t>Texture &amp; Healthful Solutions delivered its ninth consecutive quarter of broad-based net sales volume growth, driven by continued strong customer demand for our solutions offerings, including clean-label ingredients, demonstrating the durability and margin enhancement of our solutions-selling model.”</w:t>
      </w:r>
    </w:p>
    <w:p>
      <w:pPr>
        <w:pStyle w:val="TextBody"/>
        <w:bidi w:val="0"/>
        <w:spacing w:lineRule="auto" w:line="288" w:before="240" w:after="2"/>
        <w:jc w:val="left"/>
        <w:rPr>
          <w:color w:val="000000"/>
        </w:rPr>
      </w:pPr>
      <w:r>
        <w:rPr>
          <w:color w:val="000000"/>
        </w:rPr>
        <w:t>“</w:t>
      </w:r>
      <w:r>
        <w:rPr>
          <w:rFonts w:ascii="Times New Roman;serif" w:hAnsi="Times New Roman;serif"/>
          <w:b w:val="false"/>
          <w:color w:val="000000"/>
          <w:sz w:val="20"/>
        </w:rPr>
        <w:t>Food &amp; Industrial Ingredients—LATAM continued to deliver in line with expectations, which was a result of focused execution across the region, the resilience of our diversified businesses, and the advancement of network optimization opportunities, which included the announced closure of our Cabo, Brazil facility. We also successfully navigated foreign exchange headwinds and macroeconomic pressures.”</w:t>
      </w:r>
    </w:p>
    <w:p>
      <w:pPr>
        <w:pStyle w:val="TextBody"/>
        <w:bidi w:val="0"/>
        <w:spacing w:lineRule="auto" w:line="288" w:before="240" w:after="2"/>
        <w:jc w:val="left"/>
        <w:rPr>
          <w:color w:val="000000"/>
        </w:rPr>
      </w:pPr>
      <w:r>
        <w:rPr>
          <w:color w:val="000000"/>
        </w:rPr>
        <w:t>“</w:t>
      </w:r>
      <w:r>
        <w:rPr>
          <w:rFonts w:ascii="Times New Roman;serif" w:hAnsi="Times New Roman;serif"/>
          <w:b w:val="false"/>
          <w:color w:val="000000"/>
          <w:sz w:val="20"/>
        </w:rPr>
        <w:t>In Food &amp; Industrial Ingredients—U.S./CAN, reliability at our Argo plant improved, with sequentially better production rates, and yields achieved throughout the quarter. We are pleased to say that the plant is operating at normal production rates across all major operating units.”</w:t>
      </w:r>
    </w:p>
    <w:p>
      <w:pPr>
        <w:pStyle w:val="TextBody"/>
        <w:bidi w:val="0"/>
        <w:spacing w:lineRule="auto" w:line="288" w:before="240" w:after="2"/>
        <w:jc w:val="left"/>
        <w:rPr>
          <w:color w:val="000000"/>
        </w:rPr>
      </w:pPr>
      <w:r>
        <w:rPr>
          <w:color w:val="000000"/>
        </w:rPr>
        <w:t>“</w:t>
      </w:r>
      <w:r>
        <w:rPr>
          <w:rFonts w:ascii="Times New Roman;serif" w:hAnsi="Times New Roman;serif"/>
          <w:b w:val="false"/>
          <w:color w:val="000000"/>
          <w:sz w:val="20"/>
        </w:rPr>
        <w:t>Looking ahead, we are focused on continued operational execution across our Food &amp; Industrial Ingredients businesses and accelerating the growth of our Texture &amp; Healthful Solutions portfolio. We have also commenced the integration planning work for the pending acquisition of Tate &amp; Lyle, which, when completed, will establish Ingredion as a more comprehensive global leader in ingredient solutions with the innovation expertise and geographic reach that will help create the future of food.”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96240"/>
                <wp:effectExtent l="0" t="0" r="0" b="0"/>
                <wp:wrapNone/>
                <wp:docPr id="6" name="Frame4"/>
                <a:graphic xmlns:a="http://schemas.openxmlformats.org/drawingml/2006/main">
                  <a:graphicData uri="http://schemas.microsoft.com/office/word/2010/wordprocessingShape">
                    <wps:wsp>
                      <wps:cNvSpPr txBox="1"/>
                      <wps:spPr>
                        <a:xfrm>
                          <a:off x="0" y="0"/>
                          <a:ext cx="6480175" cy="396240"/>
                        </a:xfrm>
                        <a:prstGeom prst="rect"/>
                        <a:solidFill>
                          <a:srgbClr val="FFFFFF"/>
                        </a:solidFill>
                      </wps:spPr>
                      <wps:txbx>
                        <w:txbxContent>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*Reported results are in accordance with U.S. generally accepted accounting principles “GAAP.” Adjusted financial measures are non-GAAP financial measures. See “II. Non-GAAP Information” in the Supplemental Financial Information that follows the Condensed Consolidated Financial Statements for a reconciliation of non-GAAP financial measures to the most directly comparable GAAP measures.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*Reported results are in accordance with U.S. generally accepted accounting principles “GAAP.” Adjusted financial measures are non-GAAP financial measures. See “II. Non-GAAP Information” in the Supplemental Financial Information that follows the Condensed Consolidated Financial Statements for a reconciliation of non-GAAP financial measures to the most directly comparable GAAP measures.</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Diluted Earnings Per Share (EPS)</w:t>
      </w:r>
    </w:p>
    <w:tbl>
      <w:tblPr>
        <w:tblW w:w="4663" w:type="dxa"/>
        <w:jc w:val="center"/>
        <w:tblInd w:w="0" w:type="dxa"/>
        <w:tblLayout w:type="fixed"/>
        <w:tblCellMar>
          <w:top w:w="28" w:type="dxa"/>
          <w:left w:w="28" w:type="dxa"/>
          <w:bottom w:w="28" w:type="dxa"/>
          <w:right w:w="28" w:type="dxa"/>
        </w:tblCellMar>
      </w:tblPr>
      <w:tblGrid>
        <w:gridCol w:w="902"/>
        <w:gridCol w:w="792"/>
        <w:gridCol w:w="796"/>
        <w:gridCol w:w="211"/>
        <w:gridCol w:w="526"/>
        <w:gridCol w:w="109"/>
        <w:gridCol w:w="211"/>
        <w:gridCol w:w="526"/>
        <w:gridCol w:w="109"/>
        <w:gridCol w:w="109"/>
        <w:gridCol w:w="109"/>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2Q25</w:t>
            </w:r>
          </w:p>
        </w:tc>
        <w:tc>
          <w:tcPr>
            <w:tcW w:w="846" w:type="dxa"/>
            <w:gridSpan w:val="3"/>
            <w:tcBorders/>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color w:val="000000"/>
                <w:sz w:val="20"/>
              </w:rPr>
            </w:pPr>
            <w:r>
              <w:rPr>
                <w:rFonts w:ascii="Times New Roman;serif" w:hAnsi="Times New Roman;serif"/>
                <w:b/>
                <w:color w:val="000000"/>
                <w:sz w:val="20"/>
              </w:rPr>
              <w:t>2Q26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Reported Diluted EPS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i/>
                <w:color w:val="000000"/>
                <w:sz w:val="20"/>
              </w:rPr>
              <w:t>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i/>
                <w:color w:val="000000"/>
                <w:sz w:val="20"/>
              </w:rPr>
              <w:t>1.78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items and other matters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Adjusted Diluted EPS**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i/>
                <w:color w:val="000000"/>
                <w:sz w:val="20"/>
              </w:rPr>
              <w:t>2.87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i/>
                <w:color w:val="000000"/>
                <w:sz w:val="20"/>
              </w:rPr>
              <w:t>2.82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Factors affecting changes in Reported and Adjusted EPS</w:t>
      </w:r>
    </w:p>
    <w:tbl>
      <w:tblPr>
        <w:tblW w:w="4889" w:type="dxa"/>
        <w:jc w:val="left"/>
        <w:tblInd w:w="0" w:type="dxa"/>
        <w:tblLayout w:type="fixed"/>
        <w:tblCellMar>
          <w:top w:w="28" w:type="dxa"/>
          <w:left w:w="28" w:type="dxa"/>
          <w:bottom w:w="28" w:type="dxa"/>
          <w:right w:w="28" w:type="dxa"/>
        </w:tblCellMar>
      </w:tblPr>
      <w:tblGrid>
        <w:gridCol w:w="1385"/>
        <w:gridCol w:w="1215"/>
        <w:gridCol w:w="1224"/>
        <w:gridCol w:w="293"/>
        <w:gridCol w:w="293"/>
        <w:gridCol w:w="216"/>
        <w:gridCol w:w="109"/>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before="0" w:after="2"/>
              <w:jc w:val="right"/>
              <w:rPr/>
            </w:pPr>
            <w:r>
              <w:rPr/>
              <w:t>2Q26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items affecting adjusted diluted EPS**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(0.05)</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operating items</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i/>
                <w:color w:val="000000"/>
                <w:sz w:val="20"/>
              </w:rPr>
            </w:pPr>
            <w:r>
              <w:rPr>
                <w:rFonts w:ascii="Times New Roman;serif" w:hAnsi="Times New Roman;serif"/>
                <w:b/>
                <w:i/>
                <w:color w:val="000000"/>
                <w:sz w:val="20"/>
              </w:rPr>
              <w:t>(0.17)</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Margin</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i/>
                <w:color w:val="000000"/>
                <w:sz w:val="20"/>
              </w:rPr>
            </w:pPr>
            <w:r>
              <w:rPr>
                <w:rFonts w:ascii="Times New Roman;serif" w:hAnsi="Times New Roman;serif"/>
                <w:b/>
                <w:i/>
                <w:color w:val="000000"/>
                <w:sz w:val="20"/>
              </w:rPr>
              <w:t>Total non-operating items</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pPr>
            <w:r>
              <w:rPr>
                <w:rFonts w:ascii="Times New Roman;serif" w:hAnsi="Times New Roman;serif"/>
                <w:b/>
                <w:i/>
                <w:color w:val="000000"/>
                <w:sz w:val="20"/>
              </w:rPr>
              <w:t>0.12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Shares outstanding</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non-operating income</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Totals may not sum or recalculate due to rounding</w:t>
      </w:r>
    </w:p>
    <w:p>
      <w:pPr>
        <w:pStyle w:val="TextBody"/>
        <w:bidi w:val="0"/>
        <w:spacing w:before="6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Review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Total Ingredion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298" w:type="dxa"/>
        <w:jc w:val="left"/>
        <w:tblInd w:w="0" w:type="dxa"/>
        <w:tblLayout w:type="fixed"/>
        <w:tblCellMar>
          <w:top w:w="28" w:type="dxa"/>
          <w:left w:w="28" w:type="dxa"/>
          <w:bottom w:w="28" w:type="dxa"/>
          <w:right w:w="28" w:type="dxa"/>
        </w:tblCellMar>
      </w:tblPr>
      <w:tblGrid>
        <w:gridCol w:w="526"/>
        <w:gridCol w:w="462"/>
        <w:gridCol w:w="466"/>
        <w:gridCol w:w="189"/>
        <w:gridCol w:w="189"/>
        <w:gridCol w:w="193"/>
        <w:gridCol w:w="220"/>
        <w:gridCol w:w="220"/>
        <w:gridCol w:w="221"/>
        <w:gridCol w:w="250"/>
        <w:gridCol w:w="250"/>
        <w:gridCol w:w="251"/>
        <w:gridCol w:w="109"/>
        <w:gridCol w:w="109"/>
        <w:gridCol w:w="170"/>
        <w:gridCol w:w="170"/>
        <w:gridCol w:w="171"/>
        <w:gridCol w:w="189"/>
        <w:gridCol w:w="189"/>
        <w:gridCol w:w="193"/>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1,833</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1,850</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3,646</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3,642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20"/>
              </w:rPr>
              <w:t>%</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net sales increased 1%. The increase was primarily driven by higher net sales volume in T&amp;HS and favorable foreign exchange in F&amp;II–LATAM, partially offset by less favorable overall price mix and lower net sales volume in F&amp;II–U.S./CAN.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3</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7"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
        <w:ind w:left="0" w:right="0" w:firstLine="180"/>
        <w:jc w:val="left"/>
        <w:rPr>
          <w:rFonts w:ascii="Times New Roman;serif" w:hAnsi="Times New Roman;serif"/>
          <w:b/>
          <w:color w:val="000000"/>
          <w:sz w:val="20"/>
        </w:rPr>
      </w:pPr>
      <w:r>
        <w:rPr>
          <w:rFonts w:ascii="Times New Roman;serif" w:hAnsi="Times New Roman;serif"/>
          <w:b/>
          <w:color w:val="000000"/>
          <w:sz w:val="20"/>
        </w:rPr>
        <w:t>Reported Operating Income</w:t>
      </w:r>
    </w:p>
    <w:tbl>
      <w:tblPr>
        <w:tblW w:w="8597"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75"/>
        <w:gridCol w:w="275"/>
        <w:gridCol w:w="276"/>
        <w:gridCol w:w="734"/>
        <w:gridCol w:w="734"/>
        <w:gridCol w:w="736"/>
        <w:gridCol w:w="185"/>
        <w:gridCol w:w="185"/>
        <w:gridCol w:w="186"/>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Restructuring/Impairment</w:t>
            </w:r>
          </w:p>
        </w:tc>
        <w:tc>
          <w:tcPr>
            <w:tcW w:w="5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271</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22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547</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Adjusted Operating Income</w:t>
      </w:r>
    </w:p>
    <w:tbl>
      <w:tblPr>
        <w:tblW w:w="5837"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75"/>
        <w:gridCol w:w="275"/>
        <w:gridCol w:w="276"/>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273</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258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546</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470</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(16%)</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reported and adjusted operating income were $188 million and $258 million, respectively. The difference between reported and adjusted operating income was primarily attributable to impairment charges and costs from the closure of our Cabo, Brazil facility, as well as costs attributable to the previously announced thermal event at our Argo plant. Excluding foreign exchange translation impacts, reported operating income was down 32% and adjusted operating income was down 7% from a year ago.</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Texture &amp; Healthful Solutions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363" w:type="dxa"/>
        <w:jc w:val="left"/>
        <w:tblInd w:w="0" w:type="dxa"/>
        <w:tblLayout w:type="fixed"/>
        <w:tblCellMar>
          <w:top w:w="28" w:type="dxa"/>
          <w:left w:w="28" w:type="dxa"/>
          <w:bottom w:w="28" w:type="dxa"/>
          <w:right w:w="28" w:type="dxa"/>
        </w:tblCellMar>
      </w:tblPr>
      <w:tblGrid>
        <w:gridCol w:w="526"/>
        <w:gridCol w:w="462"/>
        <w:gridCol w:w="466"/>
        <w:gridCol w:w="189"/>
        <w:gridCol w:w="189"/>
        <w:gridCol w:w="193"/>
        <w:gridCol w:w="314"/>
        <w:gridCol w:w="314"/>
        <w:gridCol w:w="316"/>
        <w:gridCol w:w="250"/>
        <w:gridCol w:w="250"/>
        <w:gridCol w:w="251"/>
        <w:gridCol w:w="170"/>
        <w:gridCol w:w="170"/>
        <w:gridCol w:w="171"/>
        <w:gridCol w:w="189"/>
        <w:gridCol w:w="189"/>
        <w:gridCol w:w="193"/>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599</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627</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1,201</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1,244</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5837"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75"/>
        <w:gridCol w:w="275"/>
        <w:gridCol w:w="276"/>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111</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217</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operating income for Texture &amp; Healthful Solutions was $117 million, up $6 million from a year ago, driven by volume growth, partially offset by unfavorable price mix and higher tapioca costs. Excluding foreign exchange translation impacts, segment operating income was up 5%.</w:t>
      </w:r>
    </w:p>
    <w:p>
      <w:pPr>
        <w:pStyle w:val="TextBody"/>
        <w:bidi w:val="0"/>
        <w:spacing w:lineRule="auto" w:line="288" w:before="240" w:after="283"/>
        <w:jc w:val="left"/>
        <w:rPr/>
      </w:pPr>
      <w:r>
        <w:rPr>
          <w:rFonts w:ascii="Times New Roman;serif" w:hAnsi="Times New Roman;serif"/>
          <w:b/>
          <w:color w:val="000000"/>
          <w:sz w:val="20"/>
        </w:rPr>
        <w:t>Food &amp; Industrial Ingredients</w:t>
      </w:r>
      <w:r>
        <w:rPr>
          <w:color w:val="000000"/>
        </w:rPr>
        <w:t>–</w:t>
      </w:r>
      <w:r>
        <w:rPr>
          <w:rFonts w:ascii="Times New Roman;serif" w:hAnsi="Times New Roman;serif"/>
          <w:b/>
          <w:color w:val="000000"/>
          <w:sz w:val="20"/>
        </w:rPr>
        <w:t>LATAM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189" w:type="dxa"/>
        <w:jc w:val="left"/>
        <w:tblInd w:w="0" w:type="dxa"/>
        <w:tblLayout w:type="fixed"/>
        <w:tblCellMar>
          <w:top w:w="28" w:type="dxa"/>
          <w:left w:w="28" w:type="dxa"/>
          <w:bottom w:w="28" w:type="dxa"/>
          <w:right w:w="28" w:type="dxa"/>
        </w:tblCellMar>
      </w:tblPr>
      <w:tblGrid>
        <w:gridCol w:w="526"/>
        <w:gridCol w:w="462"/>
        <w:gridCol w:w="466"/>
        <w:gridCol w:w="189"/>
        <w:gridCol w:w="189"/>
        <w:gridCol w:w="193"/>
        <w:gridCol w:w="220"/>
        <w:gridCol w:w="220"/>
        <w:gridCol w:w="221"/>
        <w:gridCol w:w="250"/>
        <w:gridCol w:w="250"/>
        <w:gridCol w:w="251"/>
        <w:gridCol w:w="109"/>
        <w:gridCol w:w="170"/>
        <w:gridCol w:w="170"/>
        <w:gridCol w:w="171"/>
        <w:gridCol w:w="189"/>
        <w:gridCol w:w="189"/>
        <w:gridCol w:w="193"/>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FX</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596</w:t>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611</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1,169</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1,190</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8"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7006"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75"/>
        <w:gridCol w:w="275"/>
        <w:gridCol w:w="276"/>
        <w:gridCol w:w="389"/>
        <w:gridCol w:w="389"/>
        <w:gridCol w:w="391"/>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Business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Argentina JV</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127</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254</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operating income for Food &amp; Industrial Ingredients</w:t>
      </w:r>
      <w:r>
        <w:rPr>
          <w:color w:val="000000"/>
        </w:rPr>
        <w:t>–</w:t>
      </w:r>
      <w:r>
        <w:rPr>
          <w:rFonts w:ascii="Times New Roman;serif" w:hAnsi="Times New Roman;serif"/>
          <w:b w:val="false"/>
          <w:color w:val="000000"/>
          <w:sz w:val="20"/>
        </w:rPr>
        <w:t>LATAM was $118 million, a $9 million decrease from a year ago, driven primarily by Mexico’s transactional currency impacts and a more challenging demand environment. Excluding foreign exchange translational impacts, segment operating income was down 10%.</w:t>
      </w:r>
    </w:p>
    <w:p>
      <w:pPr>
        <w:pStyle w:val="TextBody"/>
        <w:bidi w:val="0"/>
        <w:spacing w:lineRule="auto" w:line="288" w:before="240" w:after="283"/>
        <w:jc w:val="left"/>
        <w:rPr/>
      </w:pPr>
      <w:r>
        <w:rPr>
          <w:rFonts w:ascii="Times New Roman;serif" w:hAnsi="Times New Roman;serif"/>
          <w:b/>
          <w:color w:val="000000"/>
          <w:sz w:val="20"/>
        </w:rPr>
        <w:t>Food &amp; Industrial Ingredients</w:t>
      </w:r>
      <w:r>
        <w:rPr>
          <w:color w:val="000000"/>
        </w:rPr>
        <w:t>–</w:t>
      </w:r>
      <w:r>
        <w:rPr>
          <w:rFonts w:ascii="Times New Roman;serif" w:hAnsi="Times New Roman;serif"/>
          <w:b/>
          <w:color w:val="000000"/>
          <w:sz w:val="20"/>
        </w:rPr>
        <w:t>U.S./CAN</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318" w:type="dxa"/>
        <w:jc w:val="left"/>
        <w:tblInd w:w="0" w:type="dxa"/>
        <w:tblLayout w:type="fixed"/>
        <w:tblCellMar>
          <w:top w:w="28" w:type="dxa"/>
          <w:left w:w="28" w:type="dxa"/>
          <w:bottom w:w="28" w:type="dxa"/>
          <w:right w:w="28" w:type="dxa"/>
        </w:tblCellMar>
      </w:tblPr>
      <w:tblGrid>
        <w:gridCol w:w="526"/>
        <w:gridCol w:w="462"/>
        <w:gridCol w:w="466"/>
        <w:gridCol w:w="189"/>
        <w:gridCol w:w="189"/>
        <w:gridCol w:w="193"/>
        <w:gridCol w:w="314"/>
        <w:gridCol w:w="314"/>
        <w:gridCol w:w="316"/>
        <w:gridCol w:w="250"/>
        <w:gridCol w:w="250"/>
        <w:gridCol w:w="251"/>
        <w:gridCol w:w="170"/>
        <w:gridCol w:w="170"/>
        <w:gridCol w:w="171"/>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523</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1,043</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963</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Segment Operating Income</w:t>
      </w:r>
    </w:p>
    <w:tbl>
      <w:tblPr>
        <w:tblW w:w="5880"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89"/>
        <w:gridCol w:w="289"/>
        <w:gridCol w:w="291"/>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Business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86</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(28)</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178</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(87)</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(49%)</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operating income for Food &amp; Industrial Ingredients</w:t>
      </w:r>
      <w:r>
        <w:rPr>
          <w:color w:val="000000"/>
        </w:rPr>
        <w:t>–</w:t>
      </w:r>
      <w:r>
        <w:rPr>
          <w:rFonts w:ascii="Times New Roman;serif" w:hAnsi="Times New Roman;serif"/>
          <w:b w:val="false"/>
          <w:color w:val="000000"/>
          <w:sz w:val="20"/>
        </w:rPr>
        <w:t>U.S./CAN was $58 million, a $28 million decrease from the prior year. The decline resulted from lower production at our Argo facility,which had normalized by the end of the quarter, as well as softer volumes and price mix. Excluding foreign exchange translation impacts, operating income was down 33%.</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All Other*</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Sales</w:t>
      </w:r>
    </w:p>
    <w:tbl>
      <w:tblPr>
        <w:tblW w:w="6382"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50"/>
        <w:gridCol w:w="250"/>
        <w:gridCol w:w="251"/>
        <w:gridCol w:w="109"/>
        <w:gridCol w:w="170"/>
        <w:gridCol w:w="170"/>
        <w:gridCol w:w="171"/>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7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Volume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Price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Mix</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115</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124</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245</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5</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9"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All Other Operating Income (Loss)</w:t>
      </w:r>
    </w:p>
    <w:tbl>
      <w:tblPr>
        <w:tblW w:w="5880" w:type="dxa"/>
        <w:jc w:val="left"/>
        <w:tblInd w:w="0" w:type="dxa"/>
        <w:tblLayout w:type="fixed"/>
        <w:tblCellMar>
          <w:top w:w="28" w:type="dxa"/>
          <w:left w:w="28" w:type="dxa"/>
          <w:bottom w:w="28" w:type="dxa"/>
          <w:right w:w="28" w:type="dxa"/>
        </w:tblCellMar>
      </w:tblPr>
      <w:tblGrid>
        <w:gridCol w:w="526"/>
        <w:gridCol w:w="462"/>
        <w:gridCol w:w="466"/>
        <w:gridCol w:w="175"/>
        <w:gridCol w:w="175"/>
        <w:gridCol w:w="176"/>
        <w:gridCol w:w="314"/>
        <w:gridCol w:w="314"/>
        <w:gridCol w:w="316"/>
        <w:gridCol w:w="289"/>
        <w:gridCol w:w="289"/>
        <w:gridCol w:w="291"/>
        <w:gridCol w:w="175"/>
        <w:gridCol w:w="175"/>
        <w:gridCol w:w="176"/>
        <w:gridCol w:w="245"/>
        <w:gridCol w:w="245"/>
        <w:gridCol w:w="246"/>
        <w:gridCol w:w="241"/>
        <w:gridCol w:w="241"/>
        <w:gridCol w:w="343"/>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FX Impact</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Business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Drivers</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Change</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Change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excl. FX</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Second Quarter</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Second quarter operating income (loss) for All Other increased $7 million from the prior year, reflecting continued improvements in the Protein Fortification business.</w:t>
      </w:r>
    </w:p>
    <w:p>
      <w:pPr>
        <w:pStyle w:val="TextBody"/>
        <w:bidi w:val="0"/>
        <w:spacing w:lineRule="auto" w:line="288" w:before="24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All Other consists of the businesses of multiple operating segments that are not individually or collectively classified as reportable segments. Net sales from All Other are generated primarily by sweetener and starch sales from the Pakistan business, sales of stevia and other ingredients from our PureCircle and other sugar reduction businesses, and pea protein ingredients from our Protein Fortification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Other Financial Items</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At June 30, 2026, total debt was $1.8 billion, and cash, including short-term investments, was $952 million, versus $1.8 billion and $1.0 billion, at December 31, 2025.</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Net financing costs were $55 million in Q2 2026, compared to $12 million in Q2 2025, primarily due to a $47 million mark-to-market foreign exchange loss on derivatives used to hedge British pound sterling exposure related to the pending Tate &amp; Lyle acquisition.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The reported and adjusted effective tax rates for the second quarter were 33.7% and 27.2%, compared to 23.6% and 27.2%, for the year-ago period. The increase in the reported effective tax rate was primarily attributable to the gain on the sale of a majority stake in the Pakistan business and the change in value of the Mexican peso relative to the U.S. dollar. These impacts were partially offset by the utilization of previously unbenefited capital losses.</w:t>
      </w:r>
    </w:p>
    <w:p>
      <w:pPr>
        <w:pStyle w:val="TextBody"/>
        <w:bidi w:val="0"/>
        <w:spacing w:lineRule="auto" w:line="288" w:before="60" w:after="2"/>
        <w:ind w:left="0" w:right="0" w:hanging="360"/>
        <w:jc w:val="left"/>
        <w:rPr/>
      </w:pPr>
      <w:r>
        <w:rPr>
          <w:color w:val="000000"/>
        </w:rPr>
        <w:t>•</w:t>
      </w:r>
      <w:r>
        <w:rPr>
          <w:rFonts w:ascii="Times New Roman;serif" w:hAnsi="Times New Roman;serif"/>
          <w:b w:val="false"/>
          <w:color w:val="000000"/>
          <w:sz w:val="20"/>
        </w:rPr>
        <w:t>Net capital expenditures totaled $210 million through June 30, 2026.</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Dividends and Share Repurchases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the second quarter, the Company paid $52 million in dividends to shareholders. On May 20, 2026, the Company declared a quarterly dividend of $0.82 per share, which was paid on July 21, 2026. Year-to-date, the Company has repurchased $14 million of common stock and remains committed to its $100 million full-year target.</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Full-Year 2026 Outlook</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Ingredion reaffirms its 2026 full year outlook after reflecting the impact of the sale of a majority stake in the Pakistan business on the second half of the year. The Company expects its full-year 2026 reported EPS to be in the range of $9.15 to $9.75, and its adjusted EPS to be in the range of $10.30 to $10.90.</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still expects full-year 2026 net sales to be flat to up low single digits, reflecting volume growth and favorable foreign exchange, partially offset by lower price mix as well as the impact of the previously mentioned sale of its majority stake in the Pakistan business. </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Reported operating income is expected to be down low double digits, with adjusted operating income now expected to be down mid-single digits for full-year 2026, which reflects the second half impact from the sale of the majority stake in the Pakistan business.</w:t>
      </w:r>
    </w:p>
    <w:p>
      <w:pPr>
        <w:pStyle w:val="TextBody"/>
        <w:bidi w:val="0"/>
        <w:spacing w:lineRule="auto" w:line="288" w:before="240" w:after="2"/>
        <w:jc w:val="left"/>
        <w:rPr/>
      </w:pPr>
      <w:r>
        <w:rPr>
          <w:rFonts w:ascii="Times New Roman;serif" w:hAnsi="Times New Roman;serif"/>
          <w:b w:val="false"/>
          <w:color w:val="000000"/>
          <w:sz w:val="20"/>
        </w:rPr>
        <w:t>The 2026 full-year outlook further assumes the following: Texture &amp; Healthful Solutions operating income is now expected to be up mid-to-high single-digits, driven by sales volume growth, partially offset by expected higher input cost inflation; Food &amp; Industrial Ingredients</w:t>
      </w:r>
      <w:r>
        <w:rPr>
          <w:color w:val="000000"/>
        </w:rPr>
        <w:t>–</w:t>
      </w:r>
      <w:r>
        <w:rPr>
          <w:rFonts w:ascii="Times New Roman;serif" w:hAnsi="Times New Roman;serif"/>
          <w:b w:val="false"/>
          <w:color w:val="000000"/>
          <w:sz w:val="20"/>
        </w:rPr>
        <w:t>LATAM operating income is still anticipated to be down low single-digits, reflecting the continued strength of the Mexican peso; Food &amp; Industrial Ingredients</w:t>
      </w:r>
      <w:r>
        <w:rPr>
          <w:color w:val="000000"/>
        </w:rPr>
        <w:t>–</w:t>
      </w:r>
      <w:r>
        <w:rPr>
          <w:rFonts w:ascii="Times New Roman;serif" w:hAnsi="Times New Roman;serif"/>
          <w:b w:val="false"/>
          <w:color w:val="000000"/>
          <w:sz w:val="20"/>
        </w:rPr>
        <w:t xml:space="preserve">U.S./CAN operating income is now expected to be down 20-25%, driven by the operational headwinds Argo incurred in the first half of 2026; and All Other’s operating loss is now anticipated to be approximately $(15) million, which reflects the removal of the second half earnings contribution of the Pakistan business.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6</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10"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Corporate costs for full-year 2026 are now expected to be down mid-single-digits.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For full-year 2026, the Company expects a reported effective tax rate of 27.4% to 28.9% and still expects an adjusted effective tax rate of 26.0% to 27.5%.</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Cash from operations for the full year 2026 is now expected to be in the range of $700 million to $800 million. Capital expenditures for the full year are now expected to be approximately $450 to $490 million.</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This guidance reflects tariff levels in effect as of the end of July 2026. In addition, this guidance excludes acquisition-related integration and restructuring costs, as well as any potential impairment costs.</w:t>
      </w: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Third Quarter 2026 Outlook</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For the third quarter of 2026, compared to the same quarter last year, the Company expects net sales to be up low single-digits. Reported and adjusted operating income are both expected to be down mid-single-digits, which again reflects the impact of the sale of our majority stake in the Pakistan business.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Ingredion will host a conference call on Tuesday, August 4, 2026, at 8 a.m. CT/ 9 a.m. ET, hosted by Jim Zallie, chairman, president and chief executive officer and Jason Payant, vice president and interim chief financial officer. The call will be webcast in real time and can be accessed at https://ir.ingredionincorporated.com/events-and-presentations. A presentation containing additional financial and operating information will be available on the Company’s website above and can be downloaded a few hours before the call begins. A replay will be available for a limited time at https://ir.ingredionincorporated.com/financial-information/quarterly-results.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Ingredion</w:t>
      </w:r>
    </w:p>
    <w:p>
      <w:pPr>
        <w:pStyle w:val="TextBody"/>
        <w:bidi w:val="0"/>
        <w:spacing w:lineRule="auto" w:line="288" w:before="240" w:after="283"/>
        <w:jc w:val="left"/>
        <w:rPr/>
      </w:pPr>
      <w:r>
        <w:rPr>
          <w:rFonts w:ascii="Times New Roman;serif" w:hAnsi="Times New Roman;serif"/>
          <w:b w:val="false"/>
          <w:color w:val="000000"/>
          <w:sz w:val="20"/>
        </w:rPr>
        <w:t>Ingredion Incorporated (NYSE: INGR), headquartered in the suburbs of Chicago, is a leading global ingredient solutions provider serving customers in more than 120 countries. With 2025 annual net sales of approximately $7.2 billion, the Company turns grains, fruits, vegetables and other plant-based materials into value-added ingredient solutions for the food, beverage, animal nutrition, brewing and industrial markets. With Ingredion Idea Labs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innovation centers located around the world and more than 11,000 employees, the Company co-creates with customers and fulfills its purpose of bringing the potential of people, nature and technology together to make life better. Visit ingredion.com for more information and the latest Company news.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This news release contains or may contain forward-looking statements within the meaning of Section 27A of the Securities Act of 1933, as amended, and Section 21E of the Securities Exchange Act of 1934, as amended. Ingredion Incorporated intends these forward-looking statements to be covered by the safe harbor provisions for such statements.</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among others, any statements regarding our expectations for third quarter 2026 net sales and reported and adjusted operating income, full-year 2026 reported and adjusted earnings per share, net sales, reported and adjusted operating income, segment operating income, corporate costs, reported and adjusted effective tax rate, cash from operations, and capital expenditures, and any other statements regarding our prospects and our future operations, financial condition, volumes, cash flows, expenses or other financial items, including management’s plans or strategies and objectives for any of the foregoing and any assumptions, expectations, or beliefs underlying any of the foregoing. In addition, such statements include statements regarding our expectations with respect to completion and benefits of the pending acquisition of Tate &amp; Lyle (the “pending acquisition”), including statements regarding plans, objectives, intentions and expectations with respect to the future operations and financial performance of the combined group.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can sometimes be identified by the use of forward-looking words such as “may,” “will,” “should,” “anticipate,” “assume,” “believe,” “plan,” “project,” “estimate,” “expect,” “intend,” “continue,” “pro forma,” “forecast,”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7</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660"/>
                <wp:effectExtent l="0" t="0" r="0" b="0"/>
                <wp:wrapNone/>
                <wp:docPr id="11"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0"/>
        </w:rPr>
        <w:t>outlook,” “opportunities,” “potential,” or other similar expressions or the negative thereof. All statements other than statements of historical facts therein are “forward-looking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current circumstances or expectations, but are subject to certain inherent risks and uncertainties, many of which are difficult to predict and beyond our control. Although we believe our expectations reflected in these forward-looking statements are based on reasonable assumptions, investors are cautioned that no assurance can be given that our expectations will prove correct.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factors relating to the pending acquisition, among others, could cause actual results to differ materially from those expressed in or implied by our forward-looking statements: failure of the pending acquisition to be completed when expected or at all because of the inability to satisfy material antitrust or other conditions or for other reasons; the risk that the expected benefits of the pending acquisition may not be fully realized or may take longer to realize than anticipated, including as a result of the risks and uncertainties discussed below; failure to integrate effectively the businesses of Ingredion and Tate &amp; Lyle or to manage effectively the expanded operations of the combined group; the incurrence of substantial expenses and indebtedness by Ingredion and the combined group to complete the pending acquisition and to operate the enterprise after completion; and the risk of loss of contracts and customers, distributors, suppliers, vendors and other business partners of Tate &amp; Lyle as a results of the pending acquisition.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Actual results and developments may differ materially from the expectations expressed in or implied by our forward-looking statements, based on various risks and uncertainties, including changes in consumer practices, preferences, price sensitivity, behaviors, demand and perceptions; the impact of geopolitical developments, tensions, threats or conflicts on the availability and prices of raw materials and energy supplies, supply chains and foreign exchange and interest rates; the impact of global business and economic conditions on demand for our products or our access to global credit and equity markets; our reliance on certain industries for a significant portion of our sales; operating difficulties at our manufacturing facilities and liabilities relating to product safety and quality; our ability to keep pace with technological developments in research and development and continue to offer innovative products; competitive pressures that may adversely affect our market share, revenue and profitability; market volatility that may adversely affect our ability to pass through potential increases in the cost of corn and other raw materials to customers, to purchase quantities of corn and other raw materials at prices sufficient to sustain or increase our profitability, or to supply product quantities and meet shipment delivery requirements that our customers demand; the impact on inputs to our procurement, production processes and delivery channels, such as raw material, energy, and freight and logistics, of price fluctuations, supply chain interruptions, tariffs, duties, and shortages; our ability to contain costs, manage working capital, and achieve budgets, including completion of planned maintenance and investment projects on time and on budget; global climate change and legal, regulatory, or market measures to address climate change; our ability to identify and complete acquisitions, divestitures, or strategic alliances on favorable terms or achieve anticipated synergies; the economic, political and other risks inherent in conducting operations in foreign countries and with foreign currencies; our ability to maintain satisfactory labor relations; our ability to attract, develop, retain, motivate and maintain good relationships with our workforce, including key personnel; the impact of legal and regulatory proceedings; the risks associated with pandemics; the impact of any impairment charges on intangible assets and goodwill; global and regional economic policies and changes to existing laws and regulations; changes in our tax rates or exposure to additional income tax liabilities; increases in interest rates that could increase our borrowing costs; risks affecting our ability to raise funds at reasonable rates and other factors affecting our access to sufficient funds for future growth and expansion; risks relating to the use of artificial intelligence and other advanced technologies, and our reliance on third</w:t>
        <w:noBreakHyphen/>
        <w:t>party technology providers; interruptions, security incidents, or failures with respect to information technology systems, processes, and sites; risks affecting the continuation of our dividend policy; and our ability to maintain effective internal control over financial reporting.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forward-looking statements speak only as of the date on which they are made, and we do not undertake any obligation to update any forward-looking statement to reflect events or circumstances after the date of the statement as a result of new information or future events or developments or otherwise. If we do update or correct one or more of these statements, investors and others should not conclude that we will make additional updates or corrections. For a further description of these and other risks, see “Risk Factors” and other information included in our Annual Report on Form 10-K for the year ended December 31, 2025, and in our subsequent reports on Form 10-Q and Form 8-K filed with the Securities and Exchange Commission.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is for information purposes and is not intended to and does not constitute, or form part of, an offer, invitation or the solicitation of an offer to purchase, otherwise acquire, subscribe for, sell or otherwise dispose of 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INGREDION REPORTS SECOND QUARTER 2026 RESULTS – Page 8</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660"/>
                <wp:effectExtent l="0" t="0" r="0" b="0"/>
                <wp:wrapNone/>
                <wp:docPr id="12" name="Frame1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securities, or the solicitation of any vote or approval in any jurisdiction, pursuant to the all-cash offer by the Company for the entire issued and to be issued ordinary share capital of Tate &amp; Lyle, or otherwise, nor shall there be any sale, issuance or transfer of securities of Tate &amp; Lyle in any jurisdiction in contravention of applicable law. The pending acquisition will be made solely by means of a scheme of arrangement (or, if the pending acquisition is implemented by way of a takeover offer, as that term is defined in the UK Companies Act 2006 (a “Takeover Offer”), the offer document), which will contain the full terms and conditions of the pending acquisition. If the Company exercises its right to implement the pending acquisition by way of a Takeover Offer, such offer will be made in compliance with applicable U.S. laws and regulations.</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660"/>
                <wp:effectExtent l="0" t="0" r="0" b="0"/>
                <wp:wrapNone/>
                <wp:docPr id="13" name="Frame1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data)</w:t>
      </w:r>
    </w:p>
    <w:tbl>
      <w:tblPr>
        <w:tblW w:w="10598" w:type="dxa"/>
        <w:jc w:val="left"/>
        <w:tblInd w:w="0" w:type="dxa"/>
        <w:tblLayout w:type="fixed"/>
        <w:tblCellMar>
          <w:top w:w="28" w:type="dxa"/>
          <w:left w:w="28" w:type="dxa"/>
          <w:bottom w:w="28" w:type="dxa"/>
          <w:right w:w="28" w:type="dxa"/>
        </w:tblCellMar>
      </w:tblPr>
      <w:tblGrid>
        <w:gridCol w:w="893"/>
        <w:gridCol w:w="354"/>
        <w:gridCol w:w="164"/>
        <w:gridCol w:w="109"/>
        <w:gridCol w:w="109"/>
        <w:gridCol w:w="109"/>
        <w:gridCol w:w="109"/>
        <w:gridCol w:w="109"/>
        <w:gridCol w:w="109"/>
        <w:gridCol w:w="526"/>
        <w:gridCol w:w="211"/>
        <w:gridCol w:w="616"/>
        <w:gridCol w:w="109"/>
        <w:gridCol w:w="175"/>
        <w:gridCol w:w="175"/>
        <w:gridCol w:w="176"/>
        <w:gridCol w:w="211"/>
        <w:gridCol w:w="616"/>
        <w:gridCol w:w="109"/>
        <w:gridCol w:w="109"/>
        <w:gridCol w:w="109"/>
        <w:gridCol w:w="109"/>
        <w:gridCol w:w="125"/>
        <w:gridCol w:w="125"/>
        <w:gridCol w:w="126"/>
        <w:gridCol w:w="109"/>
        <w:gridCol w:w="109"/>
        <w:gridCol w:w="109"/>
        <w:gridCol w:w="245"/>
        <w:gridCol w:w="245"/>
        <w:gridCol w:w="526"/>
        <w:gridCol w:w="109"/>
        <w:gridCol w:w="109"/>
        <w:gridCol w:w="109"/>
        <w:gridCol w:w="211"/>
        <w:gridCol w:w="616"/>
        <w:gridCol w:w="109"/>
        <w:gridCol w:w="175"/>
        <w:gridCol w:w="175"/>
        <w:gridCol w:w="176"/>
        <w:gridCol w:w="211"/>
        <w:gridCol w:w="616"/>
        <w:gridCol w:w="109"/>
        <w:gridCol w:w="109"/>
        <w:gridCol w:w="109"/>
        <w:gridCol w:w="109"/>
        <w:gridCol w:w="188"/>
        <w:gridCol w:w="160"/>
        <w:gridCol w:w="163"/>
      </w:tblGrid>
      <w:tr>
        <w:trPr/>
        <w:tc>
          <w:tcPr>
            <w:tcW w:w="89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1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Change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w:t>
            </w:r>
          </w:p>
        </w:tc>
        <w:tc>
          <w:tcPr>
            <w:tcW w:w="2300" w:type="dxa"/>
            <w:gridSpan w:val="12"/>
            <w:tcBorders/>
          </w:tcPr>
          <w:p>
            <w:pPr>
              <w:pStyle w:val="TableContents"/>
              <w:bidi w:val="0"/>
              <w:spacing w:before="0" w:after="283"/>
              <w:jc w:val="left"/>
              <w:rPr>
                <w:sz w:val="4"/>
                <w:szCs w:val="4"/>
              </w:rPr>
            </w:pPr>
            <w:r>
              <w:rPr>
                <w:sz w:val="4"/>
                <w:szCs w:val="4"/>
              </w:rPr>
            </w:r>
          </w:p>
        </w:tc>
      </w:tr>
      <w:tr>
        <w:trPr/>
        <w:tc>
          <w:tcPr>
            <w:tcW w:w="141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6"/>
            <w:tcBorders/>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20"/>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operating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Financing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non-operating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Earnings per common share attributable to Ingredion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Earnings per common share of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90"/>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660"/>
                <wp:effectExtent l="0" t="0" r="0" b="0"/>
                <wp:wrapNone/>
                <wp:docPr id="14" name="Frame1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
        <w:jc w:val="center"/>
        <w:rPr>
          <w:rFonts w:ascii="Times New Roman;serif" w:hAnsi="Times New Roman;serif"/>
          <w:b w:val="false"/>
          <w:color w:val="000000"/>
          <w:sz w:val="20"/>
        </w:rPr>
      </w:pPr>
      <w:r>
        <w:rPr>
          <w:rFonts w:ascii="Times New Roman;serif" w:hAnsi="Times New Roman;serif"/>
          <w:b w:val="false"/>
          <w:color w:val="000000"/>
          <w:sz w:val="20"/>
        </w:rPr>
        <w:t>(dollars and shares in millions, except per share amounts)</w:t>
      </w:r>
    </w:p>
    <w:tbl>
      <w:tblPr>
        <w:tblW w:w="10205" w:type="dxa"/>
        <w:jc w:val="left"/>
        <w:tblInd w:w="0" w:type="dxa"/>
        <w:tblLayout w:type="fixed"/>
        <w:tblCellMar>
          <w:top w:w="28" w:type="dxa"/>
          <w:left w:w="28" w:type="dxa"/>
          <w:bottom w:w="28" w:type="dxa"/>
          <w:right w:w="28" w:type="dxa"/>
        </w:tblCellMar>
      </w:tblPr>
      <w:tblGrid>
        <w:gridCol w:w="2569"/>
        <w:gridCol w:w="2114"/>
        <w:gridCol w:w="2093"/>
        <w:gridCol w:w="109"/>
        <w:gridCol w:w="109"/>
        <w:gridCol w:w="109"/>
        <w:gridCol w:w="287"/>
        <w:gridCol w:w="758"/>
        <w:gridCol w:w="133"/>
        <w:gridCol w:w="109"/>
        <w:gridCol w:w="109"/>
        <w:gridCol w:w="109"/>
        <w:gridCol w:w="341"/>
        <w:gridCol w:w="1001"/>
        <w:gridCol w:w="255"/>
      </w:tblGrid>
      <w:tr>
        <w:trPr/>
        <w:tc>
          <w:tcPr>
            <w:tcW w:w="256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Prepaid expenses and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3,505 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Short-term borrowings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Accounts payable, accrued liabilities and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3,497 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Share-based payments subject to redemption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Ingredion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Preferred stock — authorized 25.0 shares — $0.01 par value, none issued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Common stock — authorized 200.0 shares — $0.01 par value, 77.8 shares issued at June 30, 2026 and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Less: Treasury stock (common stock: 14.7 and 14.8 shares at June 30, 2026 and December 31, 2025)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(937)</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Ingredion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4,295 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8,070 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660"/>
                <wp:effectExtent l="0" t="0" r="0" b="0"/>
                <wp:wrapNone/>
                <wp:docPr id="15" name="Frame1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w:t>
      </w:r>
    </w:p>
    <w:tbl>
      <w:tblPr>
        <w:tblW w:w="8726" w:type="dxa"/>
        <w:jc w:val="center"/>
        <w:tblInd w:w="0" w:type="dxa"/>
        <w:tblLayout w:type="fixed"/>
        <w:tblCellMar>
          <w:top w:w="28" w:type="dxa"/>
          <w:left w:w="28" w:type="dxa"/>
          <w:bottom w:w="28" w:type="dxa"/>
          <w:right w:w="28" w:type="dxa"/>
        </w:tblCellMar>
      </w:tblPr>
      <w:tblGrid>
        <w:gridCol w:w="2160"/>
        <w:gridCol w:w="1898"/>
        <w:gridCol w:w="1912"/>
        <w:gridCol w:w="109"/>
        <w:gridCol w:w="109"/>
        <w:gridCol w:w="109"/>
        <w:gridCol w:w="244"/>
        <w:gridCol w:w="539"/>
        <w:gridCol w:w="126"/>
        <w:gridCol w:w="126"/>
        <w:gridCol w:w="126"/>
        <w:gridCol w:w="126"/>
        <w:gridCol w:w="244"/>
        <w:gridCol w:w="539"/>
        <w:gridCol w:w="359"/>
      </w:tblGrid>
      <w:tr>
        <w:trPr/>
        <w:tc>
          <w:tcPr>
            <w:tcW w:w="2160"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9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9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Non-cash charges to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Mechanical stores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Foreign exchange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Margin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Changes in other 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Capital expenditures and mechanical stores purchases,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Proceeds from sales of businesses,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Purchases of equity securities,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5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color w:val="000000"/>
                <w:sz w:val="20"/>
              </w:rPr>
            </w:pPr>
            <w:r>
              <w:rPr>
                <w:rFonts w:ascii="Times New Roman;serif" w:hAnsi="Times New Roman;serif"/>
                <w:b/>
                <w:color w:val="000000"/>
                <w:sz w:val="20"/>
              </w:rPr>
              <w:t>Cash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Proceeds (payments) on borrowings,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5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Common stock activity for share-based compensation,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Purchases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359"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Dividends paid, including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Effects of foreign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359"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660"/>
                <wp:effectExtent l="0" t="0" r="0" b="0"/>
                <wp:wrapNone/>
                <wp:docPr id="16" name="Frame1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Financial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percentages)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 Segment Information of Net Sales to Unaffiliated Customers and Operating Income</w:t>
      </w:r>
    </w:p>
    <w:tbl>
      <w:tblPr>
        <w:tblW w:w="11724" w:type="dxa"/>
        <w:jc w:val="left"/>
        <w:tblInd w:w="0" w:type="dxa"/>
        <w:tblLayout w:type="fixed"/>
        <w:tblCellMar>
          <w:top w:w="28" w:type="dxa"/>
          <w:left w:w="28" w:type="dxa"/>
          <w:bottom w:w="28" w:type="dxa"/>
          <w:right w:w="28" w:type="dxa"/>
        </w:tblCellMar>
      </w:tblPr>
      <w:tblGrid>
        <w:gridCol w:w="468"/>
        <w:gridCol w:w="306"/>
        <w:gridCol w:w="307"/>
        <w:gridCol w:w="109"/>
        <w:gridCol w:w="109"/>
        <w:gridCol w:w="109"/>
        <w:gridCol w:w="109"/>
        <w:gridCol w:w="109"/>
        <w:gridCol w:w="109"/>
        <w:gridCol w:w="466"/>
        <w:gridCol w:w="109"/>
        <w:gridCol w:w="196"/>
        <w:gridCol w:w="556"/>
        <w:gridCol w:w="109"/>
        <w:gridCol w:w="109"/>
        <w:gridCol w:w="109"/>
        <w:gridCol w:w="109"/>
        <w:gridCol w:w="196"/>
        <w:gridCol w:w="556"/>
        <w:gridCol w:w="109"/>
        <w:gridCol w:w="109"/>
        <w:gridCol w:w="109"/>
        <w:gridCol w:w="109"/>
        <w:gridCol w:w="235"/>
        <w:gridCol w:w="235"/>
        <w:gridCol w:w="236"/>
        <w:gridCol w:w="109"/>
        <w:gridCol w:w="109"/>
        <w:gridCol w:w="109"/>
        <w:gridCol w:w="185"/>
        <w:gridCol w:w="112"/>
        <w:gridCol w:w="109"/>
        <w:gridCol w:w="109"/>
        <w:gridCol w:w="109"/>
        <w:gridCol w:w="109"/>
        <w:gridCol w:w="109"/>
        <w:gridCol w:w="109"/>
        <w:gridCol w:w="466"/>
        <w:gridCol w:w="235"/>
        <w:gridCol w:w="466"/>
        <w:gridCol w:w="109"/>
        <w:gridCol w:w="109"/>
        <w:gridCol w:w="109"/>
        <w:gridCol w:w="196"/>
        <w:gridCol w:w="556"/>
        <w:gridCol w:w="109"/>
        <w:gridCol w:w="109"/>
        <w:gridCol w:w="109"/>
        <w:gridCol w:w="109"/>
        <w:gridCol w:w="196"/>
        <w:gridCol w:w="556"/>
        <w:gridCol w:w="109"/>
        <w:gridCol w:w="109"/>
        <w:gridCol w:w="109"/>
        <w:gridCol w:w="109"/>
        <w:gridCol w:w="185"/>
        <w:gridCol w:w="112"/>
        <w:gridCol w:w="109"/>
        <w:gridCol w:w="109"/>
        <w:gridCol w:w="109"/>
        <w:gridCol w:w="109"/>
        <w:gridCol w:w="175"/>
        <w:gridCol w:w="122"/>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Three Months Ended</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Excl. FX %</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Six Months Ended</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Change</w:t>
            </w:r>
          </w:p>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Excl. FX %</w:t>
            </w:r>
          </w:p>
        </w:tc>
        <w:tc>
          <w:tcPr>
            <w:tcW w:w="1511" w:type="dxa"/>
            <w:gridSpan w:val="12"/>
            <w:tcBorders/>
          </w:tcPr>
          <w:p>
            <w:pPr>
              <w:pStyle w:val="TableContents"/>
              <w:bidi w:val="0"/>
              <w:spacing w:before="0" w:after="283"/>
              <w:jc w:val="left"/>
              <w:rPr>
                <w:sz w:val="4"/>
                <w:szCs w:val="4"/>
              </w:rPr>
            </w:pPr>
            <w:r>
              <w:rPr>
                <w:sz w:val="4"/>
                <w:szCs w:val="4"/>
              </w:rPr>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2026</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1511" w:type="dxa"/>
            <w:gridSpan w:val="12"/>
            <w:tcBorders/>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Net Sales to Unaffiliated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Texture &amp; Healthful Solutions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LATAM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U.S./Canada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(8%)</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All Other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Texture &amp; Healthful Solutions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LATAM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18"/>
              </w:rPr>
              <w:t>Food &amp; Industrial Ingredients</w:t>
            </w:r>
            <w:r>
              <w:rPr>
                <w:color w:val="000000"/>
              </w:rPr>
              <w:t>–</w:t>
            </w:r>
            <w:r>
              <w:rPr>
                <w:rFonts w:ascii="Times New Roman;serif" w:hAnsi="Times New Roman;serif"/>
                <w:b w:val="false"/>
                <w:color w:val="000000"/>
                <w:sz w:val="18"/>
              </w:rPr>
              <w:t>U.S./Canada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(49%)</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(16%)</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Acquisition/integration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Impairment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Restructuring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Other matters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center"/>
              <w:rPr>
                <w:rFonts w:ascii="Times New Roman;serif" w:hAnsi="Times New Roman;serif"/>
                <w:b w:val="false"/>
                <w:color w:val="000000"/>
                <w:sz w:val="18"/>
              </w:rPr>
            </w:pPr>
            <w:r>
              <w:rPr>
                <w:rFonts w:ascii="Times New Roman;serif" w:hAnsi="Times New Roman;serif"/>
                <w:b w:val="false"/>
                <w:color w:val="000000"/>
                <w:sz w:val="18"/>
              </w:rPr>
              <w:t>(31%)</w:t>
            </w:r>
          </w:p>
        </w:tc>
      </w:tr>
    </w:tbl>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 to Net Sales to Unaffiliated Customers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(i)Net of inter-segment sales of $35 million and $9 million for the second quarter of 2026 and 2025, and $44 million and $18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(ii)Net of inter-segment sales of $11 million and $14 million for the second quarter of 2026 and 2025, and $21 million and $27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(iii)Net of inter-segment sales of $48 million and $27 million for the second quarter of 2026 and 2025, and $75 million and $60 million for year-to-date 2026 and 2025.</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(iv)Net of inter-segment sales of $8 million and $4 million for the second quarter of 2026 and 2025, and $12 million and $7 million for year-to-date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660"/>
                <wp:effectExtent l="0" t="0" r="0" b="0"/>
                <wp:wrapNone/>
                <wp:docPr id="17" name="Frame1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II. Non-GAAP Information</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results prepared in accordance with U.S. generally accepted accounting principles (“GAAP”), non-GAAP historical financial measures are used, which exclude certain GAAP items such as acquisition/integration costs, restructuring costs, impairment charges, net (gain) on sale of business, Mexico tax item, and other specified items. The term “adjusted” is generally used when referring to these non-GAAP financial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Management uses non-GAAP financial measures internally for strategic decision making, forecasting future results and evaluating current performance. By disclosing non-GAAP financial measures, management intends to provide investors with a more meaningful, consistent comparison of the Company’s operating results and trends for the periods presented. These non-GAAP financial measures are used in addition to and in conjunction with results presented in accordance with GAAP and reflect an additional way of viewing aspects of the Company’s operations that, when viewed with its GAAP results, provide a more complete understanding of factors and trends affecting its business. Expected financial measures may not reflect certain future charges, costs and/or gains that are inherently difficult to predict and estimate due to their unknown timing, effect and/or significance. Non-GAAP adjustments are generally made to adjusted financial measures, which increases management’s confidence in its ability to forecast adjusted financial measures than in its ability to forecast GAAP financial measures. These non-GAAP measures, including non-GAAP expected measures, should be considered as a supplement to, and not as a substitute for, or superior to, the corresponding measures calculated in accordance with GAAP.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Non-GAAP financial measures are not prepared in accordance with GAAP; therefore, the Company’s non-GAAP information is not necessarily comparable to similarly titled measures presented by other companies. A reconciliation of each non-GAAP financial measure to the most comparable GAAP measure is provided in the tables below.</w:t>
      </w:r>
    </w:p>
    <w:p>
      <w:pPr>
        <w:pStyle w:val="TextBody"/>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Net Income attributable to Ingredion and Diluted Earnings Per Share (“EPS”) to Non-GAAP Adjusted Net Income attributable to Ingredion and Adjusted Diluted EPS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113"/>
        <w:gridCol w:w="901"/>
        <w:gridCol w:w="906"/>
        <w:gridCol w:w="109"/>
        <w:gridCol w:w="109"/>
        <w:gridCol w:w="153"/>
        <w:gridCol w:w="153"/>
        <w:gridCol w:w="302"/>
        <w:gridCol w:w="657"/>
        <w:gridCol w:w="153"/>
        <w:gridCol w:w="109"/>
        <w:gridCol w:w="109"/>
        <w:gridCol w:w="109"/>
        <w:gridCol w:w="246"/>
        <w:gridCol w:w="596"/>
        <w:gridCol w:w="126"/>
        <w:gridCol w:w="109"/>
        <w:gridCol w:w="109"/>
        <w:gridCol w:w="109"/>
        <w:gridCol w:w="393"/>
        <w:gridCol w:w="393"/>
        <w:gridCol w:w="394"/>
        <w:gridCol w:w="109"/>
        <w:gridCol w:w="254"/>
        <w:gridCol w:w="563"/>
        <w:gridCol w:w="133"/>
        <w:gridCol w:w="109"/>
        <w:gridCol w:w="109"/>
        <w:gridCol w:w="109"/>
        <w:gridCol w:w="246"/>
        <w:gridCol w:w="596"/>
        <w:gridCol w:w="126"/>
        <w:gridCol w:w="109"/>
        <w:gridCol w:w="109"/>
        <w:gridCol w:w="109"/>
        <w:gridCol w:w="166"/>
      </w:tblGrid>
      <w:tr>
        <w:trPr/>
        <w:tc>
          <w:tcPr>
            <w:tcW w:w="111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8" w:type="dxa"/>
            <w:gridSpan w:val="5"/>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788" w:type="dxa"/>
            <w:gridSpan w:val="10"/>
            <w:tcBorders/>
          </w:tcPr>
          <w:p>
            <w:pPr>
              <w:pStyle w:val="TableContents"/>
              <w:bidi w:val="0"/>
              <w:spacing w:before="0" w:after="283"/>
              <w:jc w:val="left"/>
              <w:rPr>
                <w:sz w:val="4"/>
                <w:szCs w:val="4"/>
              </w:rPr>
            </w:pPr>
            <w:r>
              <w:rPr>
                <w:sz w:val="4"/>
                <w:szCs w:val="4"/>
              </w:rPr>
            </w:r>
          </w:p>
        </w:tc>
      </w:tr>
      <w:tr>
        <w:trPr/>
        <w:tc>
          <w:tcPr>
            <w:tcW w:w="2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Non-GAAP adjusted net income attributable to Ingredion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660"/>
                <wp:effectExtent l="0" t="0" r="0" b="0"/>
                <wp:wrapNone/>
                <wp:docPr id="18" name="Frame1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95"/>
        <w:gridCol w:w="983"/>
        <w:gridCol w:w="989"/>
        <w:gridCol w:w="109"/>
        <w:gridCol w:w="109"/>
        <w:gridCol w:w="160"/>
        <w:gridCol w:w="160"/>
        <w:gridCol w:w="314"/>
        <w:gridCol w:w="685"/>
        <w:gridCol w:w="160"/>
        <w:gridCol w:w="109"/>
        <w:gridCol w:w="109"/>
        <w:gridCol w:w="109"/>
        <w:gridCol w:w="251"/>
        <w:gridCol w:w="609"/>
        <w:gridCol w:w="129"/>
        <w:gridCol w:w="109"/>
        <w:gridCol w:w="415"/>
        <w:gridCol w:w="415"/>
        <w:gridCol w:w="416"/>
        <w:gridCol w:w="109"/>
        <w:gridCol w:w="109"/>
        <w:gridCol w:w="109"/>
        <w:gridCol w:w="260"/>
        <w:gridCol w:w="576"/>
        <w:gridCol w:w="136"/>
        <w:gridCol w:w="109"/>
        <w:gridCol w:w="109"/>
        <w:gridCol w:w="109"/>
        <w:gridCol w:w="249"/>
        <w:gridCol w:w="604"/>
        <w:gridCol w:w="191"/>
      </w:tblGrid>
      <w:tr>
        <w:trPr/>
        <w:tc>
          <w:tcPr>
            <w:tcW w:w="1195"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gridSpan w:val="5"/>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Three Months Ended</w:t>
              <w:br/>
              <w:t>June 30, 2025</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88" w:before="240" w:after="2"/>
              <w:jc w:val="center"/>
              <w:rPr>
                <w:rFonts w:ascii="Times New Roman;serif" w:hAnsi="Times New Roman;serif"/>
                <w:b/>
                <w:color w:val="000000"/>
                <w:sz w:val="20"/>
              </w:rPr>
            </w:pPr>
            <w:r>
              <w:rPr>
                <w:rFonts w:ascii="Times New Roman;serif" w:hAnsi="Times New Roman;serif"/>
                <w:b/>
                <w:color w:val="000000"/>
                <w:sz w:val="20"/>
              </w:rPr>
              <w:t xml:space="preserve">Six Months Ended </w:t>
              <w:br/>
              <w:t>June 30, 2025</w:t>
            </w:r>
          </w:p>
        </w:tc>
        <w:tc>
          <w:tcPr>
            <w:tcW w:w="2670" w:type="dxa"/>
            <w:gridSpan w:val="12"/>
            <w:tcBorders/>
          </w:tcPr>
          <w:p>
            <w:pPr>
              <w:pStyle w:val="TableContents"/>
              <w:bidi w:val="0"/>
              <w:spacing w:before="0" w:after="283"/>
              <w:jc w:val="left"/>
              <w:rPr>
                <w:sz w:val="4"/>
                <w:szCs w:val="4"/>
              </w:rPr>
            </w:pPr>
            <w:r>
              <w:rPr>
                <w:sz w:val="4"/>
                <w:szCs w:val="4"/>
              </w:rPr>
            </w:r>
          </w:p>
        </w:tc>
      </w:tr>
      <w:tr>
        <w:trPr/>
        <w:tc>
          <w:tcPr>
            <w:tcW w:w="3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Diluted EPS</w:t>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Ingredion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16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20"/>
              </w:rPr>
              <w:t>Tax item</w:t>
            </w:r>
            <w:r>
              <w:rPr>
                <w:color w:val="000000"/>
              </w:rPr>
              <w:t>–</w:t>
            </w:r>
            <w:r>
              <w:rPr>
                <w:rFonts w:ascii="Times New Roman;serif" w:hAnsi="Times New Roman;serif"/>
                <w:b w:val="false"/>
                <w:color w:val="000000"/>
                <w:sz w:val="20"/>
              </w:rPr>
              <w:t>Mexico (vi)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7"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Non-GAAP adjusted net income attributable to Ingredion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
        <w:jc w:val="left"/>
        <w:rPr>
          <w:rFonts w:ascii="Times New Roman;serif" w:hAnsi="Times New Roman;serif"/>
          <w:b w:val="false"/>
          <w:i/>
          <w:color w:val="000000"/>
          <w:sz w:val="20"/>
        </w:rPr>
      </w:pPr>
      <w:r>
        <w:rPr>
          <w:rFonts w:ascii="Times New Roman;serif" w:hAnsi="Times New Roman;serif"/>
          <w:b w:val="false"/>
          <w:i/>
          <w:color w:val="000000"/>
          <w:sz w:val="20"/>
        </w:rPr>
        <w:t>Net income and EPS may not sum or recalculate due to rounding.</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Notes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(i)During the three and six months ended June 30, 2026, we recorded pre-tax acquisition and integration costs of $53 million primarily related to our pending acquisition of Tate &amp; Lyle, including a $47 million of acquisition-related foreign exchange hedging losses. There was no such activity during the three and six months ended June 30,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(ii)During the three and six months ended June 30, 2026, we recorded pre-tax impairment charges of $33 million, primarily related to the closure of our facility in Cabo, Brazil. During the three months ended June 30, 2025, we recorded a tax benefit for impairment charges to equity method investments. During the six months ended June 30, 2025, we recorded $6 million of pre-tax impairment charges on our equity investments.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(iii)During the three and six months ended June 30, 2026, we recorded pre-tax restructuring costs of $14 million and $25 million, primarily related to the closure of our facility in Cabo, Brazil, and costs related to our sale of the Pakistan business and other restructuring activity. During the three and six months ended June 30, 2025, we recorded pre-tax restructuring costs of $3 million and $4 million, primarily related to decommissioning costs for plant closures.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(iv)During the three and six months ended June 30, 2026, we recorded a net pre-tax gain of $44 million related to the sale of our Pakistan business. There was no such activity during the three and six months ended June 30, 2025.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(v)During the three and six months ended June 30, 2026, we recorded pre-tax charges of $19 million and $17 million primarily related to the Argo thermal event. During the three and six ended June 30, 2025, we recorded pre-tax benefits of $1 million and $11 million primarily related to insurance recoveries and a favorable judgment related to certain indirect taxes in Brazil. </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(vi)The tax amounts are result of the movement of the Mexican peso against the U.S. dollar and its impact on the remeasurement of the Mexico financial statements during the period.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(vii)During the three and six months ended June 30, 2026,we recorded a change in our accrual related to the permanent reinvestment of foreign earnings, recognized prior-year tax liabilities, associated tax impacts related to the above current and prior-year non-GAAP adjustments, and recapture of prior-year U.S. tax benefits. These were partially offset by the utilization of previously unbenefited capital losses, recognition of a deferred tax asset, and interest income on previously recognized tax benefits associated with certain Brazilian local incentives that were previously taxable.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660"/>
                <wp:effectExtent l="0" t="0" r="0" b="0"/>
                <wp:wrapNone/>
                <wp:docPr id="19" name="Frame1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Reconciliation of GAAP Operating Income to Non-GAAP Adjusted Operating Income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pre-tax)</w:t>
      </w:r>
    </w:p>
    <w:tbl>
      <w:tblPr>
        <w:tblW w:w="10205" w:type="dxa"/>
        <w:jc w:val="left"/>
        <w:tblInd w:w="0" w:type="dxa"/>
        <w:tblLayout w:type="fixed"/>
        <w:tblCellMar>
          <w:top w:w="28" w:type="dxa"/>
          <w:left w:w="28" w:type="dxa"/>
          <w:bottom w:w="28" w:type="dxa"/>
          <w:right w:w="28" w:type="dxa"/>
        </w:tblCellMar>
      </w:tblPr>
      <w:tblGrid>
        <w:gridCol w:w="1130"/>
        <w:gridCol w:w="972"/>
        <w:gridCol w:w="979"/>
        <w:gridCol w:w="109"/>
        <w:gridCol w:w="109"/>
        <w:gridCol w:w="195"/>
        <w:gridCol w:w="195"/>
        <w:gridCol w:w="379"/>
        <w:gridCol w:w="838"/>
        <w:gridCol w:w="195"/>
        <w:gridCol w:w="109"/>
        <w:gridCol w:w="109"/>
        <w:gridCol w:w="109"/>
        <w:gridCol w:w="211"/>
        <w:gridCol w:w="466"/>
        <w:gridCol w:w="109"/>
        <w:gridCol w:w="109"/>
        <w:gridCol w:w="534"/>
        <w:gridCol w:w="534"/>
        <w:gridCol w:w="535"/>
        <w:gridCol w:w="109"/>
        <w:gridCol w:w="109"/>
        <w:gridCol w:w="109"/>
        <w:gridCol w:w="211"/>
        <w:gridCol w:w="466"/>
        <w:gridCol w:w="109"/>
        <w:gridCol w:w="109"/>
        <w:gridCol w:w="109"/>
        <w:gridCol w:w="109"/>
        <w:gridCol w:w="211"/>
        <w:gridCol w:w="466"/>
        <w:gridCol w:w="162"/>
      </w:tblGrid>
      <w:tr>
        <w:trPr/>
        <w:tc>
          <w:tcPr>
            <w:tcW w:w="113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8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2" w:type="dxa"/>
            <w:gridSpan w:val="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Six Months Ended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2279" w:type="dxa"/>
            <w:gridSpan w:val="12"/>
            <w:tcBorders/>
          </w:tcPr>
          <w:p>
            <w:pPr>
              <w:pStyle w:val="TableContents"/>
              <w:bidi w:val="0"/>
              <w:spacing w:before="0" w:after="283"/>
              <w:jc w:val="left"/>
              <w:rPr>
                <w:sz w:val="4"/>
                <w:szCs w:val="4"/>
              </w:rPr>
            </w:pPr>
            <w:r>
              <w:rPr>
                <w:sz w:val="4"/>
                <w:szCs w:val="4"/>
              </w:rPr>
            </w:r>
          </w:p>
        </w:tc>
      </w:tr>
      <w:tr>
        <w:trPr/>
        <w:tc>
          <w:tcPr>
            <w:tcW w:w="308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1"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Non-GAAP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 see notes (i) through (v)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660"/>
                <wp:effectExtent l="0" t="0" r="0" b="0"/>
                <wp:wrapNone/>
                <wp:docPr id="20" name="Frame1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Reconciliation of GAAP Effective Income Tax Rate to Non-GAAP Adjusted Effective Income Tax Rate</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 w:after="2"/>
        <w:jc w:val="center"/>
        <w:rPr>
          <w:rFonts w:ascii="Times New Roman;serif" w:hAnsi="Times New Roman;serif"/>
          <w:b w:val="false"/>
          <w:color w:val="000000"/>
          <w:sz w:val="20"/>
        </w:rPr>
      </w:pPr>
      <w:r>
        <w:rPr>
          <w:rFonts w:ascii="Times New Roman;serif" w:hAnsi="Times New Roman;serif"/>
          <w:b w:val="false"/>
          <w:color w:val="000000"/>
          <w:sz w:val="20"/>
        </w:rPr>
        <w:t>(dollars in millions, except for percentages)</w:t>
      </w:r>
    </w:p>
    <w:tbl>
      <w:tblPr>
        <w:tblW w:w="10205" w:type="dxa"/>
        <w:jc w:val="center"/>
        <w:tblInd w:w="0" w:type="dxa"/>
        <w:tblLayout w:type="fixed"/>
        <w:tblCellMar>
          <w:top w:w="28" w:type="dxa"/>
          <w:left w:w="28" w:type="dxa"/>
          <w:bottom w:w="28" w:type="dxa"/>
          <w:right w:w="28" w:type="dxa"/>
        </w:tblCellMar>
      </w:tblPr>
      <w:tblGrid>
        <w:gridCol w:w="603"/>
        <w:gridCol w:w="466"/>
        <w:gridCol w:w="473"/>
        <w:gridCol w:w="318"/>
        <w:gridCol w:w="703"/>
        <w:gridCol w:w="164"/>
        <w:gridCol w:w="114"/>
        <w:gridCol w:w="114"/>
        <w:gridCol w:w="114"/>
        <w:gridCol w:w="397"/>
        <w:gridCol w:w="680"/>
        <w:gridCol w:w="206"/>
        <w:gridCol w:w="114"/>
        <w:gridCol w:w="114"/>
        <w:gridCol w:w="114"/>
        <w:gridCol w:w="331"/>
        <w:gridCol w:w="331"/>
        <w:gridCol w:w="333"/>
        <w:gridCol w:w="109"/>
        <w:gridCol w:w="109"/>
        <w:gridCol w:w="109"/>
        <w:gridCol w:w="318"/>
        <w:gridCol w:w="703"/>
        <w:gridCol w:w="164"/>
        <w:gridCol w:w="111"/>
        <w:gridCol w:w="111"/>
        <w:gridCol w:w="111"/>
        <w:gridCol w:w="343"/>
        <w:gridCol w:w="760"/>
        <w:gridCol w:w="180"/>
        <w:gridCol w:w="111"/>
        <w:gridCol w:w="111"/>
        <w:gridCol w:w="111"/>
        <w:gridCol w:w="305"/>
        <w:gridCol w:w="305"/>
        <w:gridCol w:w="445"/>
      </w:tblGrid>
      <w:tr>
        <w:trPr/>
        <w:tc>
          <w:tcPr>
            <w:tcW w:w="60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154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542" w:type="dxa"/>
            <w:gridSpan w:val="3"/>
            <w:vMerge w:val="continue"/>
            <w:tcBorders/>
            <w:tcMar>
              <w:top w:w="0" w:type="dxa"/>
              <w:left w:w="0" w:type="dxa"/>
              <w:bottom w:w="0" w:type="dxa"/>
              <w:right w:w="0" w:type="dxa"/>
            </w:tcMar>
            <w:vAlign w:val="center"/>
          </w:tcPr>
          <w:p>
            <w:pPr>
              <w:pStyle w:val="Normal"/>
              <w:bidi w:val="0"/>
              <w:jc w:val="left"/>
              <w:rPr/>
            </w:pPr>
            <w:r>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29.5%</w:t>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2"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660"/>
                <wp:effectExtent l="0" t="0" r="0" b="0"/>
                <wp:wrapNone/>
                <wp:docPr id="21" name="Frame1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550"/>
        <w:gridCol w:w="421"/>
        <w:gridCol w:w="427"/>
        <w:gridCol w:w="326"/>
        <w:gridCol w:w="721"/>
        <w:gridCol w:w="168"/>
        <w:gridCol w:w="114"/>
        <w:gridCol w:w="114"/>
        <w:gridCol w:w="114"/>
        <w:gridCol w:w="405"/>
        <w:gridCol w:w="694"/>
        <w:gridCol w:w="211"/>
        <w:gridCol w:w="114"/>
        <w:gridCol w:w="114"/>
        <w:gridCol w:w="114"/>
        <w:gridCol w:w="335"/>
        <w:gridCol w:w="335"/>
        <w:gridCol w:w="336"/>
        <w:gridCol w:w="109"/>
        <w:gridCol w:w="109"/>
        <w:gridCol w:w="109"/>
        <w:gridCol w:w="326"/>
        <w:gridCol w:w="721"/>
        <w:gridCol w:w="168"/>
        <w:gridCol w:w="111"/>
        <w:gridCol w:w="111"/>
        <w:gridCol w:w="111"/>
        <w:gridCol w:w="350"/>
        <w:gridCol w:w="776"/>
        <w:gridCol w:w="184"/>
        <w:gridCol w:w="111"/>
        <w:gridCol w:w="111"/>
        <w:gridCol w:w="111"/>
        <w:gridCol w:w="308"/>
        <w:gridCol w:w="308"/>
        <w:gridCol w:w="458"/>
      </w:tblGrid>
      <w:tr>
        <w:trPr/>
        <w:tc>
          <w:tcPr>
            <w:tcW w:w="55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r>
      <w:tr>
        <w:trPr/>
        <w:tc>
          <w:tcPr>
            <w:tcW w:w="139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1398" w:type="dxa"/>
            <w:gridSpan w:val="3"/>
            <w:vMerge w:val="continue"/>
            <w:tcBorders/>
            <w:tcMar>
              <w:top w:w="0" w:type="dxa"/>
              <w:left w:w="0" w:type="dxa"/>
              <w:bottom w:w="0" w:type="dxa"/>
              <w:right w:w="0" w:type="dxa"/>
            </w:tcMar>
            <w:vAlign w:val="center"/>
          </w:tcPr>
          <w:p>
            <w:pPr>
              <w:pStyle w:val="Normal"/>
              <w:bidi w:val="0"/>
              <w:jc w:val="left"/>
              <w:rPr/>
            </w:pPr>
            <w:r>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Income before Income Taxes (a)</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Provision for Income Taxes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Effective Income </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Tax Rate (b/a)</w:t>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24.5%</w:t>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Non-GAAP</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660"/>
                <wp:effectExtent l="0" t="0" r="0" b="0"/>
                <wp:wrapNone/>
                <wp:docPr id="22" name="Frame20"/>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pPr>
      <w:r>
        <w:rPr>
          <w:rFonts w:ascii="Times New Roman;serif" w:hAnsi="Times New Roman;serif"/>
          <w:b/>
          <w:color w:val="000000"/>
          <w:sz w:val="20"/>
        </w:rPr>
        <w:t>Reconciliation of Expected GAAP Diluted Earnings Per Share (</w:t>
      </w:r>
      <w:r>
        <w:rPr>
          <w:color w:val="000000"/>
        </w:rPr>
        <w:t>“</w:t>
      </w:r>
      <w:r>
        <w:rPr>
          <w:rFonts w:ascii="Times New Roman;serif" w:hAnsi="Times New Roman;serif"/>
          <w:b/>
          <w:color w:val="000000"/>
          <w:sz w:val="20"/>
        </w:rPr>
        <w:t>GAAP EPS</w:t>
      </w:r>
      <w:r>
        <w:rPr>
          <w:color w:val="000000"/>
        </w:rPr>
        <w:t>”</w:t>
      </w:r>
      <w:r>
        <w:rPr>
          <w:rFonts w:ascii="Times New Roman;serif" w:hAnsi="Times New Roman;serif"/>
          <w:b/>
          <w:color w:val="000000"/>
          <w:sz w:val="20"/>
        </w:rPr>
        <w:t>)</w:t>
      </w:r>
    </w:p>
    <w:p>
      <w:pPr>
        <w:pStyle w:val="TextBody"/>
        <w:bidi w:val="0"/>
        <w:spacing w:lineRule="auto" w:line="288" w:before="0" w:after="0"/>
        <w:jc w:val="center"/>
        <w:rPr/>
      </w:pPr>
      <w:r>
        <w:rPr>
          <w:rFonts w:ascii="Times New Roman;serif" w:hAnsi="Times New Roman;serif"/>
          <w:b/>
          <w:color w:val="000000"/>
          <w:sz w:val="20"/>
        </w:rPr>
        <w:t>to Expected Adjusted Diluted Earnings Per Share (</w:t>
      </w:r>
      <w:r>
        <w:rPr>
          <w:color w:val="000000"/>
        </w:rPr>
        <w:t>“</w:t>
      </w:r>
      <w:r>
        <w:rPr>
          <w:rFonts w:ascii="Times New Roman;serif" w:hAnsi="Times New Roman;serif"/>
          <w:b/>
          <w:color w:val="000000"/>
          <w:sz w:val="20"/>
        </w:rPr>
        <w:t>Adjusted EPS</w:t>
      </w:r>
      <w:r>
        <w:rPr>
          <w:color w:val="000000"/>
        </w:rPr>
        <w:t>”</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395" w:type="dxa"/>
        <w:jc w:val="left"/>
        <w:tblInd w:w="0" w:type="dxa"/>
        <w:tblLayout w:type="fixed"/>
        <w:tblCellMar>
          <w:top w:w="28" w:type="dxa"/>
          <w:left w:w="28" w:type="dxa"/>
          <w:bottom w:w="28" w:type="dxa"/>
          <w:right w:w="28" w:type="dxa"/>
        </w:tblCellMar>
      </w:tblPr>
      <w:tblGrid>
        <w:gridCol w:w="1018"/>
        <w:gridCol w:w="897"/>
        <w:gridCol w:w="905"/>
        <w:gridCol w:w="243"/>
        <w:gridCol w:w="711"/>
        <w:gridCol w:w="125"/>
        <w:gridCol w:w="109"/>
        <w:gridCol w:w="109"/>
        <w:gridCol w:w="109"/>
        <w:gridCol w:w="251"/>
        <w:gridCol w:w="735"/>
        <w:gridCol w:w="183"/>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Expected EPS Range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Full-Year 2026</w:t>
            </w:r>
          </w:p>
        </w:tc>
      </w:tr>
      <w:tr>
        <w:trPr/>
        <w:tc>
          <w:tcPr>
            <w:tcW w:w="2820" w:type="dxa"/>
            <w:gridSpan w:val="3"/>
            <w:vMerge w:val="continue"/>
            <w:tcBorders/>
            <w:tcMar>
              <w:top w:w="0" w:type="dxa"/>
              <w:left w:w="0" w:type="dxa"/>
              <w:bottom w:w="0" w:type="dxa"/>
              <w:right w:w="0" w:type="dxa"/>
            </w:tcMar>
            <w:vAlign w:val="center"/>
          </w:tcPr>
          <w:p>
            <w:pPr>
              <w:pStyle w:val="Normal"/>
              <w:bidi w:val="0"/>
              <w:jc w:val="left"/>
              <w:rPr/>
            </w:pPr>
            <w:r>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Low End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High End of</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GAAP EPS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EPS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
        <w:jc w:val="left"/>
        <w:rPr>
          <w:rFonts w:ascii="Times New Roman;serif" w:hAnsi="Times New Roman;serif"/>
          <w:b/>
          <w:color w:val="000000"/>
          <w:sz w:val="20"/>
        </w:rPr>
      </w:pPr>
      <w:r>
        <w:rPr>
          <w:rFonts w:ascii="Times New Roman;serif" w:hAnsi="Times New Roman;serif"/>
          <w:b/>
          <w:color w:val="000000"/>
          <w:sz w:val="20"/>
        </w:rPr>
        <w:t>II. Non-GAAP Information (continued)</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660"/>
                <wp:effectExtent l="0" t="0" r="0" b="0"/>
                <wp:wrapNone/>
                <wp:docPr id="23" name="Frame2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Ingredion Incorporated</w:t>
      </w:r>
    </w:p>
    <w:p>
      <w:pPr>
        <w:pStyle w:val="TextBody"/>
        <w:bidi w:val="0"/>
        <w:spacing w:lineRule="auto" w:line="288" w:before="0" w:after="0"/>
        <w:jc w:val="center"/>
        <w:rPr/>
      </w:pPr>
      <w:r>
        <w:rPr>
          <w:rFonts w:ascii="Times New Roman;serif" w:hAnsi="Times New Roman;serif"/>
          <w:b/>
          <w:color w:val="000000"/>
          <w:sz w:val="20"/>
        </w:rPr>
        <w:t>Reconciliation of Expected GAAP Effective Income Tax Rate (</w:t>
      </w:r>
      <w:r>
        <w:rPr>
          <w:color w:val="000000"/>
        </w:rPr>
        <w:t>“</w:t>
      </w:r>
      <w:r>
        <w:rPr>
          <w:rFonts w:ascii="Times New Roman;serif" w:hAnsi="Times New Roman;serif"/>
          <w:b/>
          <w:color w:val="000000"/>
          <w:sz w:val="20"/>
        </w:rPr>
        <w:t>GAAP ETR</w:t>
      </w:r>
      <w:r>
        <w:rPr>
          <w:color w:val="000000"/>
        </w:rPr>
        <w:t>”</w:t>
      </w:r>
      <w:r>
        <w:rPr>
          <w:rFonts w:ascii="Times New Roman;serif" w:hAnsi="Times New Roman;serif"/>
          <w:b/>
          <w:color w:val="000000"/>
          <w:sz w:val="20"/>
        </w:rPr>
        <w:t>)</w:t>
      </w:r>
    </w:p>
    <w:p>
      <w:pPr>
        <w:pStyle w:val="TextBody"/>
        <w:bidi w:val="0"/>
        <w:spacing w:lineRule="auto" w:line="288" w:before="0" w:after="0"/>
        <w:jc w:val="center"/>
        <w:rPr/>
      </w:pPr>
      <w:r>
        <w:rPr>
          <w:rFonts w:ascii="Times New Roman;serif" w:hAnsi="Times New Roman;serif"/>
          <w:b/>
          <w:color w:val="000000"/>
          <w:sz w:val="20"/>
        </w:rPr>
        <w:t>to Expected Adjusted Effective Income Tax Rate (</w:t>
      </w:r>
      <w:r>
        <w:rPr>
          <w:color w:val="000000"/>
        </w:rPr>
        <w:t>“</w:t>
      </w:r>
      <w:r>
        <w:rPr>
          <w:rFonts w:ascii="Times New Roman;serif" w:hAnsi="Times New Roman;serif"/>
          <w:b/>
          <w:color w:val="000000"/>
          <w:sz w:val="20"/>
        </w:rPr>
        <w:t>Adjusted ETR</w:t>
      </w:r>
      <w:r>
        <w:rPr>
          <w:color w:val="000000"/>
        </w:rPr>
        <w:t>”</w:t>
      </w:r>
      <w:r>
        <w:rPr>
          <w:rFonts w:ascii="Times New Roman;serif" w:hAnsi="Times New Roman;serif"/>
          <w:b/>
          <w:color w:val="000000"/>
          <w:sz w:val="2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5723" w:type="dxa"/>
        <w:jc w:val="left"/>
        <w:tblInd w:w="0" w:type="dxa"/>
        <w:tblLayout w:type="fixed"/>
        <w:tblCellMar>
          <w:top w:w="28" w:type="dxa"/>
          <w:left w:w="28" w:type="dxa"/>
          <w:bottom w:w="28" w:type="dxa"/>
          <w:right w:w="28" w:type="dxa"/>
        </w:tblCellMar>
      </w:tblPr>
      <w:tblGrid>
        <w:gridCol w:w="1018"/>
        <w:gridCol w:w="897"/>
        <w:gridCol w:w="905"/>
        <w:gridCol w:w="239"/>
        <w:gridCol w:w="239"/>
        <w:gridCol w:w="646"/>
        <w:gridCol w:w="181"/>
        <w:gridCol w:w="181"/>
        <w:gridCol w:w="181"/>
        <w:gridCol w:w="233"/>
        <w:gridCol w:w="233"/>
        <w:gridCol w:w="770"/>
      </w:tblGrid>
      <w:tr>
        <w:trP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82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Expected Effective Income </w:t>
            </w:r>
          </w:p>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Tax Rate Range </w:t>
            </w:r>
          </w:p>
          <w:p>
            <w:pPr>
              <w:pStyle w:val="TableContents"/>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for Full-Year 2026</w:t>
            </w:r>
          </w:p>
        </w:tc>
      </w:tr>
      <w:tr>
        <w:trPr/>
        <w:tc>
          <w:tcPr>
            <w:tcW w:w="2820" w:type="dxa"/>
            <w:gridSpan w:val="3"/>
            <w:vMerge w:val="continue"/>
            <w:tcBorders/>
            <w:tcMar>
              <w:top w:w="0" w:type="dxa"/>
              <w:left w:w="0" w:type="dxa"/>
              <w:bottom w:w="0" w:type="dxa"/>
              <w:right w:w="0" w:type="dxa"/>
            </w:tcMar>
            <w:vAlign w:val="center"/>
          </w:tcPr>
          <w:p>
            <w:pPr>
              <w:pStyle w:val="Normal"/>
              <w:bidi w:val="0"/>
              <w:jc w:val="left"/>
              <w:rPr/>
            </w:pPr>
            <w:r>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Low End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High End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Guidance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GAAP ETR</w:t>
            </w:r>
          </w:p>
        </w:tc>
        <w:tc>
          <w:tcPr>
            <w:tcW w:w="4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Acquisition/integration costs (i)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Impairment charges (ii)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costs (iii)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Net (gain) on sale of business (iv)</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matters (v)</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Tax item–Mexico (vi)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Other tax matters (vii)</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Adjusted ETR</w:t>
            </w:r>
          </w:p>
        </w:tc>
        <w:tc>
          <w:tcPr>
            <w:tcW w:w="4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notes (i) through (vii), see notes (i) through (vii) included in the Reconciliation of GAAP Net Income attributable to Ingredion and Diluted Earnings Per Share (“EPS”) to Non-GAAP Adjusted Net Income attributable to Ingredion and Adjusted Diluted EPS.</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660"/>
                <wp:effectExtent l="0" t="0" r="0" b="0"/>
                <wp:wrapNone/>
                <wp:docPr id="24" name="Frame2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6659</Words>
  <Characters>36232</Characters>
  <CharactersWithSpaces>41883</CharactersWithSpaces>
  <Paragraphs>1411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