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333"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120" w:after="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3, 2026</w:t>
      </w:r>
    </w:p>
    <w:p>
      <w:pPr>
        <w:pStyle w:val="TextBody"/>
        <w:bidi w:val="0"/>
        <w:spacing w:before="120" w:after="283"/>
        <w:jc w:val="center"/>
        <w:rPr/>
      </w:pPr>
      <w:r>
        <w:rP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bookmarkStart w:id="0" w:name="i-1"/>
      <w:bookmarkEnd w:id="0"/>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INGREDION INCORPORATED</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309" w:type="dxa"/>
        <w:jc w:val="center"/>
        <w:tblInd w:w="0" w:type="dxa"/>
        <w:tblLayout w:type="fixed"/>
        <w:tblCellMar>
          <w:top w:w="28" w:type="dxa"/>
          <w:left w:w="28" w:type="dxa"/>
          <w:bottom w:w="28" w:type="dxa"/>
          <w:right w:w="28" w:type="dxa"/>
        </w:tblCellMar>
      </w:tblPr>
      <w:tblGrid>
        <w:gridCol w:w="964"/>
        <w:gridCol w:w="845"/>
        <w:gridCol w:w="858"/>
        <w:gridCol w:w="150"/>
        <w:gridCol w:w="150"/>
        <w:gridCol w:w="150"/>
        <w:gridCol w:w="473"/>
        <w:gridCol w:w="473"/>
        <w:gridCol w:w="480"/>
        <w:gridCol w:w="109"/>
        <w:gridCol w:w="109"/>
        <w:gridCol w:w="109"/>
        <w:gridCol w:w="420"/>
        <w:gridCol w:w="420"/>
        <w:gridCol w:w="599"/>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1-13397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22-3514823</w:t>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45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Westbrook Corporate Center, Westchester, 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60154</w:t>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(708) 551-2600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333" w:before="2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24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INGR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lineRule="auto" w:line="240" w:before="240" w:after="283"/>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40"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3, 2026, Tate &amp; Lyle PLC, a company incorporated in England and Wales (“Tate &amp; Lyle”), published a document (the “Scheme Document”) relating to the previously announced recommended cash acquisition by Ingredion Incorporated (the “Company”) of the entire issued and to be issued ordinary share capital of Tate &amp; Lyle (the “Acquisition”), which is intended to be implemented by means of a court-sanctioned scheme of arrangement (the “Scheme”) under Part 26 of the UK Companies Act 2006 (the “UK Companies Act”). Tate &amp; Lyle will deliver the Scheme Document to its shareholders in connection with a meeting of the shareholders to be convened by order of the High Court of Justice in England and Wales pursuant to Part 26 of the UK Companies Act to vote on approval of the Scheme (the “Court Meeting”) and a general meeting of the shareholders to be convened immediately after conclusion of the Court Meeting (the “General Meeting”) to vote on approval of shareholder resolutions necessary to approve, implement and effect the Scheme and the Acquisition. The Court Meeting and the General Meeting are scheduled to be held on July 28,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7.01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Company specifically incorporates any of the information by reference.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Further Information; No Offer or Solicitation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report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all-cash offer by the Company for the entire issued and to be issued ordinary share capital of Tate &amp; Lyle, or otherwise, nor shall there be any sale, issuance or transfer of securities of Tate &amp; Lyle in any jurisdiction in contravention of applicable law. The Acquisition will be made solely by means of a Scheme (or, if the Acquisition is implemented by way of a takeover offer, as that term is defined in the UK Companies Act (a “Takeover Offer”), the offer document), which will contain the full terms and conditions of the Acquisition, including details of how to vote in respect of the Scheme. Any vote in respect of the Scheme or other response in relation to the Acquisition should be made only on the basis of the information contained in the Scheme Document (or, if the Acquisition is implemented by way of a Takeover Offer, the offer document). Tate &amp; Lyle shareholders are urged to read the Scheme Document because it contains important information relating to the Acquisition.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Acquisition is being made to acquire the shares of an English company by means of a scheme of arrangement provided for under English law. A transaction effected by means of a scheme of arrangement is not subject to the tender offer rules or the proxy solicitation rules under the Exchange Act. Accordingly, the Scheme is subject to disclosure requirements and practices applicable in the United Kingdom to schemes of arrangement, which are different from the disclosure requirements of the U.S. tender offer and proxy solicitation rules. The financial information included in the Scheme Document has been prepared in accordance with accounting standards applicable in the United Kingdom and thus may not be comparable to financial information of U.S. companies or companies whose financial statements are prepared in accordance with generally accepted accounting principles in the United States. If the Company exercises its right to implement the Acquisition by way of a Takeover Offer, such offer will be made in compliance with applicable U.S. laws and regulations.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989"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109"/>
        <w:gridCol w:w="109"/>
        <w:gridCol w:w="109"/>
        <w:gridCol w:w="109"/>
        <w:gridCol w:w="109"/>
        <w:gridCol w:w="109"/>
        <w:gridCol w:w="141"/>
        <w:gridCol w:w="141"/>
        <w:gridCol w:w="141"/>
        <w:gridCol w:w="141"/>
        <w:gridCol w:w="141"/>
        <w:gridCol w:w="141"/>
        <w:gridCol w:w="465"/>
        <w:gridCol w:w="465"/>
        <w:gridCol w:w="465"/>
        <w:gridCol w:w="465"/>
        <w:gridCol w:w="465"/>
        <w:gridCol w:w="465"/>
        <w:gridCol w:w="465"/>
        <w:gridCol w:w="465"/>
        <w:gridCol w:w="465"/>
        <w:gridCol w:w="109"/>
        <w:gridCol w:w="10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Ingredion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Tanya M. Jaeger de Foras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Tanya M. Jaeger de Foras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Legal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Secretary and Chief Compliance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5413</Characters>
  <CharactersWithSpaces>6419</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