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Diego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WESTBROOK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Ingredion Inc</w:t>
              </w:r>
            </w:hyperlink>
            <w:r>
              <w:rPr/>
              <w:t xml:space="preserve"> [ </w:t>
            </w:r>
            <w:r>
              <w:rPr>
                <w:rFonts w:ascii="Times;serif" w:hAnsi="Times;serif"/>
                <w:color w:val="0000FF"/>
                <w:sz w:val="24"/>
                <w:shd w:fill="FFFFFF" w:val="clear"/>
              </w:rPr>
              <w:t>INGR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5,396</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7,264</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97.27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are restricted stock units ("RSUs") issued under the Ingredion Incorporated Stock Incentive Plan. The RSUs may be settled only in shares of common stock (one share per RSU) and will vest in three equal annual installments, with one-third vesting on October 15, 2027, one-third vesting on October 15, 2028, and one-third vesting on October 15, 2029. In the event of termination of employment due to (a) death, (b) disability, or (c) retirement (as defined in the grant agreement), the RSUs will vest on a pro rata basis. Notwithstanding the foregoing, in the event of Retirement on or after October 15, 2027, the RSUs shall continue to vest in accordance with the vesting schedule.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are RSUs issued under the Ingredion Incorporated Stock Incentive Plan. The RSUs may be settled only in shares of common stock (one share per RSU) and will vest 50% on October 15, 2028 and 50% on October 15, 2029. In the event of termination of employment due to (a) death, (b) disability, or (c) retirement (as defined in the grant agreement), the RSUs will vest on a pro rata basis. Notwithstanding the foregoing, in the event of Retirement on or after October 15, 2027, the RSUs shall continue to vest in accordance with the vesting schedule.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N. Levy,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267" TargetMode="External"/><Relationship Id="rId5" Type="http://schemas.openxmlformats.org/officeDocument/2006/relationships/hyperlink" Target="http://www.sec.gov/cgi-bin/browse-edgar?action=getcompany&amp;CIK=0001046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4151</Characters>
  <CharactersWithSpaces>4860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